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4"/>
        <w:ind w:left="2158" w:right="2458" w:firstLine="0"/>
        <w:jc w:val="center"/>
        <w:rPr>
          <w:b/>
          <w:sz w:val="32"/>
        </w:rPr>
      </w:pPr>
      <w:bookmarkStart w:id="0" w:name="_GoBack"/>
      <w:bookmarkEnd w:id="0"/>
      <w:r>
        <w:rPr>
          <w:b/>
          <w:sz w:val="32"/>
        </w:rPr>
        <w:t>广发证券深市港股通业务客户风险揭示书</w:t>
      </w:r>
    </w:p>
    <w:p>
      <w:pPr>
        <w:pStyle w:val="3"/>
        <w:tabs>
          <w:tab w:val="left" w:pos="5176"/>
        </w:tabs>
        <w:spacing w:before="152"/>
        <w:ind w:left="3697"/>
      </w:pPr>
      <w:r>
        <w:t>市场风险莫测</w:t>
      </w:r>
      <w:r>
        <w:tab/>
      </w:r>
      <w:r>
        <w:t>务</w:t>
      </w:r>
      <w:r>
        <w:rPr>
          <w:spacing w:val="-3"/>
        </w:rPr>
        <w:t>请</w:t>
      </w:r>
      <w:r>
        <w:t>谨</w:t>
      </w:r>
      <w:r>
        <w:rPr>
          <w:spacing w:val="-3"/>
        </w:rPr>
        <w:t>慎</w:t>
      </w:r>
      <w:r>
        <w:t>从事</w:t>
      </w:r>
    </w:p>
    <w:p>
      <w:pPr>
        <w:spacing w:before="91"/>
        <w:ind w:left="253" w:right="0" w:firstLine="0"/>
        <w:jc w:val="left"/>
        <w:rPr>
          <w:b/>
          <w:sz w:val="21"/>
        </w:rPr>
      </w:pPr>
      <w:r>
        <w:rPr>
          <w:b/>
          <w:sz w:val="21"/>
        </w:rPr>
        <w:t>尊敬的港股通投资者：</w:t>
      </w:r>
    </w:p>
    <w:p>
      <w:pPr>
        <w:spacing w:before="88" w:line="319" w:lineRule="auto"/>
        <w:ind w:left="253" w:right="547" w:firstLine="422"/>
        <w:jc w:val="both"/>
        <w:rPr>
          <w:b/>
          <w:sz w:val="21"/>
        </w:rPr>
      </w:pPr>
      <w:r>
        <w:rPr>
          <w:b/>
          <w:spacing w:val="-5"/>
          <w:sz w:val="21"/>
        </w:rPr>
        <w:t>深市港股通是指内地投资者委托内地证券公司，经由深交所在香港设立的证券交易服务公司</w:t>
      </w:r>
      <w:r>
        <w:rPr>
          <w:b/>
          <w:sz w:val="21"/>
        </w:rPr>
        <w:t>（</w:t>
      </w:r>
      <w:r>
        <w:rPr>
          <w:b/>
          <w:spacing w:val="-4"/>
          <w:sz w:val="21"/>
        </w:rPr>
        <w:t>以下简</w:t>
      </w:r>
      <w:r>
        <w:rPr>
          <w:b/>
          <w:spacing w:val="-4"/>
          <w:w w:val="100"/>
          <w:sz w:val="21"/>
        </w:rPr>
        <w:t>称“深交所证券交易服务公司</w:t>
      </w:r>
      <w:r>
        <w:rPr>
          <w:b/>
          <w:spacing w:val="-106"/>
          <w:w w:val="100"/>
          <w:sz w:val="21"/>
        </w:rPr>
        <w:t>”）</w:t>
      </w:r>
      <w:r>
        <w:rPr>
          <w:b/>
          <w:spacing w:val="-5"/>
          <w:w w:val="100"/>
          <w:sz w:val="21"/>
        </w:rPr>
        <w:t>，向香港联合交易所有限公司</w:t>
      </w:r>
      <w:r>
        <w:rPr>
          <w:b/>
          <w:spacing w:val="-3"/>
          <w:w w:val="100"/>
          <w:sz w:val="21"/>
        </w:rPr>
        <w:t>（</w:t>
      </w:r>
      <w:r>
        <w:rPr>
          <w:b/>
          <w:spacing w:val="-1"/>
          <w:w w:val="100"/>
          <w:sz w:val="21"/>
        </w:rPr>
        <w:t>下称“联交所”</w:t>
      </w:r>
      <w:r>
        <w:rPr>
          <w:b/>
          <w:spacing w:val="-13"/>
          <w:w w:val="100"/>
          <w:sz w:val="21"/>
        </w:rPr>
        <w:t>）</w:t>
      </w:r>
      <w:r>
        <w:rPr>
          <w:b/>
          <w:spacing w:val="-4"/>
          <w:w w:val="100"/>
          <w:sz w:val="21"/>
        </w:rPr>
        <w:t>进行申报，买卖规定范</w:t>
      </w:r>
      <w:r>
        <w:rPr>
          <w:b/>
          <w:spacing w:val="-4"/>
          <w:sz w:val="21"/>
        </w:rPr>
        <w:t>围内的联交所上市的</w:t>
      </w:r>
      <w:r>
        <w:rPr>
          <w:rFonts w:hint="eastAsia"/>
          <w:b/>
          <w:spacing w:val="-4"/>
          <w:sz w:val="21"/>
        </w:rPr>
        <w:t>标的证券（含股票、股票ETF及监管批准、认可的其他投资标的，以下简称“证券”）</w:t>
      </w:r>
      <w:r>
        <w:rPr>
          <w:b/>
          <w:spacing w:val="-4"/>
          <w:sz w:val="21"/>
        </w:rPr>
        <w:t>。</w:t>
      </w:r>
    </w:p>
    <w:p>
      <w:pPr>
        <w:pStyle w:val="4"/>
        <w:spacing w:before="4" w:line="319" w:lineRule="auto"/>
        <w:ind w:right="513" w:firstLine="420"/>
      </w:pPr>
      <w:r>
        <w:t>本风险揭示书并不能揭示从事深市港股通（以下简称“港股通”）交易的全部风险，您务必对此有清醒的认识，认真考虑是否参与港股通交易。当您决定参与港股通交易之前，请您务必认真阅读中国证监会</w:t>
      </w:r>
    </w:p>
    <w:p>
      <w:pPr>
        <w:pStyle w:val="4"/>
        <w:spacing w:line="319" w:lineRule="auto"/>
        <w:ind w:right="447" w:firstLine="0"/>
      </w:pPr>
      <w:r>
        <w:rPr>
          <w:spacing w:val="-13"/>
        </w:rPr>
        <w:t>《内地与香港股票市场交易互联互通机制若干规定》、《深圳证券交易所深港通业务实施办法》、中国证券</w:t>
      </w:r>
      <w:r>
        <w:rPr>
          <w:spacing w:val="-3"/>
          <w:w w:val="100"/>
        </w:rPr>
        <w:t>登记结算有限责任公司</w:t>
      </w:r>
      <w:r>
        <w:rPr>
          <w:w w:val="100"/>
        </w:rPr>
        <w:t>（下称“中国结算”</w:t>
      </w:r>
      <w:r>
        <w:rPr>
          <w:spacing w:val="-106"/>
          <w:w w:val="100"/>
        </w:rPr>
        <w:t>）</w:t>
      </w:r>
      <w:r>
        <w:rPr>
          <w:w w:val="100"/>
        </w:rPr>
        <w:t>《深圳市场港股通登记结算业务方案》和本风险揭示书并签</w:t>
      </w:r>
      <w:r>
        <w:rPr>
          <w:spacing w:val="-6"/>
        </w:rPr>
        <w:t>字。当您准备进行证券交易等金融投资时，请与合法的证券公司签订业务协议等，有关合法证券公司及其</w:t>
      </w:r>
      <w:r>
        <w:rPr>
          <w:spacing w:val="-7"/>
        </w:rPr>
        <w:t>分支机构和证券从业人员的信息可通过中国证券业协会网站</w:t>
      </w:r>
      <w:r>
        <w:fldChar w:fldCharType="begin"/>
      </w:r>
      <w:r>
        <w:instrText xml:space="preserve"> HYPERLINK "http://www.sac.net.cn/" \h </w:instrText>
      </w:r>
      <w:r>
        <w:fldChar w:fldCharType="separate"/>
      </w:r>
      <w:r>
        <w:rPr>
          <w:spacing w:val="-6"/>
        </w:rPr>
        <w:t>（www.sac.net.cn</w:t>
      </w:r>
      <w:r>
        <w:rPr>
          <w:spacing w:val="-6"/>
        </w:rPr>
        <w:fldChar w:fldCharType="end"/>
      </w:r>
      <w:r>
        <w:rPr>
          <w:spacing w:val="-6"/>
        </w:rPr>
        <w:t>）</w:t>
      </w:r>
      <w:r>
        <w:rPr>
          <w:spacing w:val="-11"/>
        </w:rPr>
        <w:t>进行查询，请您审慎识别，</w:t>
      </w:r>
      <w:r>
        <w:rPr>
          <w:spacing w:val="-16"/>
        </w:rPr>
        <w:t>切忌参与非法证券活动，谨防上当受骗。此风险揭示书以及您与广发证券股份有限公司(以下简称“我司”)</w:t>
      </w:r>
      <w:r>
        <w:rPr>
          <w:spacing w:val="-9"/>
        </w:rPr>
        <w:t>签署的《深市港股通业务客户委托协议》，共同构成您委托我司参与港股通交易的协议。</w:t>
      </w:r>
    </w:p>
    <w:p>
      <w:pPr>
        <w:pStyle w:val="4"/>
        <w:spacing w:before="6" w:line="319" w:lineRule="auto"/>
        <w:ind w:firstLine="420"/>
        <w:jc w:val="both"/>
      </w:pPr>
      <w:r>
        <w:rPr>
          <w:spacing w:val="-6"/>
        </w:rPr>
        <w:t>港股通交易实行投资者适当性制度管理，您应当根据自身财务状况、实际需求、风险承受能力以及内</w:t>
      </w:r>
      <w:r>
        <w:rPr>
          <w:spacing w:val="-11"/>
        </w:rPr>
        <w:t>部管理要求</w:t>
      </w:r>
      <w:r>
        <w:t>（</w:t>
      </w:r>
      <w:r>
        <w:rPr>
          <w:spacing w:val="-3"/>
        </w:rPr>
        <w:t>若为机构投资者</w:t>
      </w:r>
      <w:r>
        <w:rPr>
          <w:spacing w:val="-71"/>
        </w:rPr>
        <w:t>）</w:t>
      </w:r>
      <w:r>
        <w:rPr>
          <w:spacing w:val="-13"/>
        </w:rPr>
        <w:t>，慎重考虑是否适宜参与港股通交易，审慎决定是否参与港股通交易。投资</w:t>
      </w:r>
      <w:r>
        <w:rPr>
          <w:spacing w:val="-8"/>
        </w:rPr>
        <w:t>者适当性制度对您的各项要求以及我司依据适当性管理对您所进行的评价，不构成对您的投资建议，也不</w:t>
      </w:r>
      <w:r>
        <w:rPr>
          <w:spacing w:val="-5"/>
        </w:rPr>
        <w:t>构成对您的获利保证。</w:t>
      </w:r>
    </w:p>
    <w:p>
      <w:pPr>
        <w:pStyle w:val="3"/>
        <w:spacing w:before="4"/>
      </w:pPr>
      <w:r>
        <w:t>从事港股通交易，您须知悉以下信息：</w:t>
      </w:r>
    </w:p>
    <w:p>
      <w:pPr>
        <w:pStyle w:val="10"/>
        <w:numPr>
          <w:ilvl w:val="0"/>
          <w:numId w:val="1"/>
        </w:numPr>
        <w:tabs>
          <w:tab w:val="left" w:pos="694"/>
          <w:tab w:val="left" w:pos="695"/>
        </w:tabs>
        <w:spacing w:before="83" w:after="0" w:line="304" w:lineRule="auto"/>
        <w:ind w:left="694" w:right="438" w:hanging="442"/>
        <w:jc w:val="left"/>
        <w:rPr>
          <w:sz w:val="22"/>
        </w:rPr>
      </w:pPr>
      <w:r>
        <w:rPr>
          <w:b/>
          <w:spacing w:val="-10"/>
          <w:sz w:val="22"/>
        </w:rPr>
        <w:t>参与该业务可能导致本金亏损，可能直接导致本金亏损的情况包括但不限于：</w:t>
      </w:r>
      <w:r>
        <w:rPr>
          <w:spacing w:val="-4"/>
          <w:sz w:val="22"/>
        </w:rPr>
        <w:t>由于</w:t>
      </w:r>
      <w:r>
        <w:rPr>
          <w:rFonts w:hint="eastAsia"/>
          <w:spacing w:val="-4"/>
          <w:sz w:val="22"/>
          <w:lang w:eastAsia="zh-CN"/>
        </w:rPr>
        <w:t>证券价格</w:t>
      </w:r>
      <w:r>
        <w:rPr>
          <w:spacing w:val="-4"/>
          <w:sz w:val="22"/>
        </w:rPr>
        <w:t>波动风险、</w:t>
      </w:r>
      <w:r>
        <w:rPr>
          <w:spacing w:val="-8"/>
          <w:sz w:val="22"/>
        </w:rPr>
        <w:t>汇率风险、“老千股”风险、停牌风险、退市风险；两地市场交易时间、交收制度、交易规则等</w:t>
      </w:r>
      <w:r>
        <w:rPr>
          <w:spacing w:val="-5"/>
          <w:sz w:val="22"/>
        </w:rPr>
        <w:t>方面差异等。</w:t>
      </w:r>
    </w:p>
    <w:p>
      <w:pPr>
        <w:pStyle w:val="10"/>
        <w:numPr>
          <w:ilvl w:val="0"/>
          <w:numId w:val="1"/>
        </w:numPr>
        <w:tabs>
          <w:tab w:val="left" w:pos="694"/>
          <w:tab w:val="left" w:pos="695"/>
        </w:tabs>
        <w:spacing w:before="4" w:after="0" w:line="240" w:lineRule="auto"/>
        <w:ind w:left="694" w:right="0" w:hanging="442"/>
        <w:jc w:val="left"/>
        <w:rPr>
          <w:sz w:val="22"/>
        </w:rPr>
      </w:pPr>
      <w:r>
        <w:rPr>
          <w:b/>
          <w:sz w:val="22"/>
        </w:rPr>
        <w:t>可能直接导致超过原始本金损失的事项</w:t>
      </w:r>
      <w:r>
        <w:rPr>
          <w:spacing w:val="-3"/>
          <w:sz w:val="22"/>
        </w:rPr>
        <w:t>：暂未发现。</w:t>
      </w:r>
    </w:p>
    <w:p>
      <w:pPr>
        <w:pStyle w:val="2"/>
        <w:numPr>
          <w:ilvl w:val="0"/>
          <w:numId w:val="1"/>
        </w:numPr>
        <w:tabs>
          <w:tab w:val="left" w:pos="694"/>
          <w:tab w:val="left" w:pos="695"/>
        </w:tabs>
        <w:spacing w:before="76" w:after="0" w:line="240" w:lineRule="auto"/>
        <w:ind w:left="694" w:right="0" w:hanging="442"/>
        <w:jc w:val="left"/>
        <w:rPr>
          <w:b w:val="0"/>
        </w:rPr>
      </w:pPr>
      <w:r>
        <w:t>因本公司的业务或者财产状况变化，可能导致本金或者原始本金亏损的事项：</w:t>
      </w:r>
      <w:r>
        <w:rPr>
          <w:b w:val="0"/>
          <w:spacing w:val="-3"/>
        </w:rPr>
        <w:t>暂未发现。</w:t>
      </w:r>
    </w:p>
    <w:p>
      <w:pPr>
        <w:pStyle w:val="10"/>
        <w:numPr>
          <w:ilvl w:val="0"/>
          <w:numId w:val="1"/>
        </w:numPr>
        <w:tabs>
          <w:tab w:val="left" w:pos="694"/>
          <w:tab w:val="left" w:pos="695"/>
        </w:tabs>
        <w:spacing w:before="78" w:after="0" w:line="240" w:lineRule="auto"/>
        <w:ind w:left="694" w:right="0" w:hanging="442"/>
        <w:jc w:val="left"/>
        <w:rPr>
          <w:sz w:val="22"/>
        </w:rPr>
      </w:pPr>
      <w:r>
        <w:rPr>
          <w:b/>
          <w:sz w:val="22"/>
        </w:rPr>
        <w:t>因本公司的业务或者财产状况变化，影响客户判断的重要事由</w:t>
      </w:r>
      <w:r>
        <w:rPr>
          <w:spacing w:val="-3"/>
          <w:sz w:val="22"/>
        </w:rPr>
        <w:t>：暂未发现。</w:t>
      </w:r>
    </w:p>
    <w:p>
      <w:pPr>
        <w:pStyle w:val="10"/>
        <w:numPr>
          <w:ilvl w:val="0"/>
          <w:numId w:val="1"/>
        </w:numPr>
        <w:tabs>
          <w:tab w:val="left" w:pos="695"/>
        </w:tabs>
        <w:spacing w:before="76" w:after="0" w:line="304" w:lineRule="auto"/>
        <w:ind w:left="694" w:right="550" w:hanging="442"/>
        <w:jc w:val="both"/>
        <w:rPr>
          <w:sz w:val="22"/>
        </w:rPr>
      </w:pPr>
      <w:r>
        <w:rPr>
          <w:b/>
          <w:sz w:val="22"/>
        </w:rPr>
        <w:t>参与港股通业务时存在限制您权利行使期限或者可解除合同期限等情况的相关事项包括但不限</w:t>
      </w:r>
      <w:r>
        <w:rPr>
          <w:b/>
          <w:spacing w:val="-12"/>
          <w:sz w:val="22"/>
        </w:rPr>
        <w:t>于：</w:t>
      </w:r>
      <w:r>
        <w:rPr>
          <w:spacing w:val="-6"/>
          <w:sz w:val="22"/>
        </w:rPr>
        <w:t>港股通</w:t>
      </w:r>
      <w:r>
        <w:rPr>
          <w:rFonts w:hint="eastAsia"/>
          <w:spacing w:val="-6"/>
          <w:sz w:val="22"/>
          <w:lang w:eastAsia="zh-CN"/>
        </w:rPr>
        <w:t>证券</w:t>
      </w:r>
      <w:r>
        <w:rPr>
          <w:spacing w:val="-6"/>
          <w:sz w:val="22"/>
        </w:rPr>
        <w:t>退市后，中国结算通过</w:t>
      </w:r>
      <w:r>
        <w:rPr>
          <w:rFonts w:hint="eastAsia"/>
          <w:spacing w:val="-6"/>
        </w:rPr>
        <w:t>香港中央结算有限公司(以下简称香港结算)</w:t>
      </w:r>
      <w:r>
        <w:rPr>
          <w:spacing w:val="-6"/>
          <w:sz w:val="22"/>
        </w:rPr>
        <w:t>继续为投资者提供的退市</w:t>
      </w:r>
      <w:r>
        <w:rPr>
          <w:rFonts w:hint="eastAsia"/>
          <w:spacing w:val="-6"/>
          <w:sz w:val="22"/>
          <w:lang w:eastAsia="zh-CN"/>
        </w:rPr>
        <w:t>证券</w:t>
      </w:r>
      <w:r>
        <w:rPr>
          <w:spacing w:val="-6"/>
          <w:sz w:val="22"/>
        </w:rPr>
        <w:t>名义持有人服务可</w:t>
      </w:r>
      <w:r>
        <w:rPr>
          <w:spacing w:val="-9"/>
          <w:sz w:val="22"/>
        </w:rPr>
        <w:t>能会受限，您应当关注可能产生的风险；如您所提供的账户基本资料及使用情况、诚信记录等信</w:t>
      </w:r>
      <w:r>
        <w:rPr>
          <w:spacing w:val="-10"/>
          <w:sz w:val="22"/>
        </w:rPr>
        <w:t>息与实际情况不符，存在洗钱或恐怖融资风险，或存在异常交易行为等，将可能被禁止或限制参</w:t>
      </w:r>
      <w:r>
        <w:rPr>
          <w:spacing w:val="-8"/>
          <w:sz w:val="22"/>
        </w:rPr>
        <w:t>与该业务。</w:t>
      </w:r>
    </w:p>
    <w:p>
      <w:pPr>
        <w:pStyle w:val="4"/>
        <w:spacing w:before="9"/>
        <w:ind w:left="0" w:right="0" w:firstLine="0"/>
        <w:rPr>
          <w:sz w:val="28"/>
        </w:rPr>
      </w:pPr>
    </w:p>
    <w:p>
      <w:pPr>
        <w:pStyle w:val="4"/>
        <w:spacing w:before="0" w:line="321" w:lineRule="auto"/>
        <w:ind w:right="445" w:firstLine="420"/>
      </w:pPr>
      <w:r>
        <w:t>从事港股通交易，除了面临证券市场中的宏观经济风险、政策风险、上市公司经营风险等风险之外，还可能面临包括但不限于以下风险：</w:t>
      </w:r>
    </w:p>
    <w:p>
      <w:pPr>
        <w:pStyle w:val="4"/>
        <w:spacing w:before="0" w:line="319" w:lineRule="auto"/>
        <w:jc w:val="both"/>
      </w:pPr>
      <w:r>
        <w:rPr>
          <w:b/>
          <w:spacing w:val="-19"/>
        </w:rPr>
        <w:t>一、【两地证券市场差异的风险】：</w:t>
      </w:r>
      <w:r>
        <w:rPr>
          <w:spacing w:val="0"/>
        </w:rPr>
        <w:t>由于香港证券市场与内地证券市场存在诸多差异，您参与港股通交易需遵守内地与香港法律、行政法规、部门规章、规范性文件</w:t>
      </w:r>
      <w:r>
        <w:rPr>
          <w:rFonts w:hint="eastAsia"/>
          <w:spacing w:val="0"/>
        </w:rPr>
        <w:t>(以下统称法律法规)</w:t>
      </w:r>
      <w:r>
        <w:rPr>
          <w:spacing w:val="0"/>
        </w:rPr>
        <w:t>和业务规则,对香港证券市场有所了解；您通过港股通参与香港证券市场交易与通过其他方式参与香港证券市场交易，也存在一定的差异。</w:t>
      </w:r>
    </w:p>
    <w:p>
      <w:pPr>
        <w:pStyle w:val="4"/>
        <w:spacing w:line="319" w:lineRule="auto"/>
        <w:ind w:right="448"/>
      </w:pPr>
      <w:r>
        <w:rPr>
          <w:b/>
          <w:spacing w:val="-17"/>
        </w:rPr>
        <w:t>二、【标的证券范围存在限制和变动的风险】：</w:t>
      </w:r>
      <w:r>
        <w:rPr>
          <w:spacing w:val="0"/>
        </w:rPr>
        <w:t>您买卖的港股通标的</w:t>
      </w:r>
      <w:r>
        <w:rPr>
          <w:rFonts w:hint="eastAsia"/>
          <w:spacing w:val="0"/>
          <w:lang w:eastAsia="zh-CN"/>
        </w:rPr>
        <w:t>证券</w:t>
      </w:r>
      <w:r>
        <w:rPr>
          <w:spacing w:val="0"/>
        </w:rPr>
        <w:t>存在一定的范围限制，且港股通</w:t>
      </w:r>
      <w:r>
        <w:rPr>
          <w:rFonts w:hint="eastAsia"/>
          <w:spacing w:val="0"/>
          <w:lang w:eastAsia="zh-CN"/>
        </w:rPr>
        <w:t>证券</w:t>
      </w:r>
      <w:r>
        <w:rPr>
          <w:spacing w:val="0"/>
        </w:rPr>
        <w:t>名单会动态调整。</w:t>
      </w:r>
      <w:r>
        <w:rPr>
          <w:spacing w:val="0"/>
          <w:u w:val="single"/>
        </w:rPr>
        <w:t>您应当关注最新的港股通</w:t>
      </w:r>
      <w:r>
        <w:rPr>
          <w:rFonts w:hint="eastAsia"/>
          <w:spacing w:val="0"/>
          <w:u w:val="single"/>
          <w:lang w:eastAsia="zh-CN"/>
        </w:rPr>
        <w:t>证券</w:t>
      </w:r>
      <w:r>
        <w:rPr>
          <w:spacing w:val="0"/>
          <w:u w:val="single"/>
        </w:rPr>
        <w:t>名单。对于被调出的港股通</w:t>
      </w:r>
      <w:r>
        <w:rPr>
          <w:rFonts w:hint="eastAsia"/>
          <w:spacing w:val="0"/>
          <w:u w:val="single"/>
          <w:lang w:eastAsia="zh-CN"/>
        </w:rPr>
        <w:t>证券</w:t>
      </w:r>
      <w:r>
        <w:rPr>
          <w:spacing w:val="0"/>
          <w:u w:val="single"/>
        </w:rPr>
        <w:t>，</w:t>
      </w:r>
      <w:r>
        <w:rPr>
          <w:rFonts w:hint="default"/>
          <w:spacing w:val="0"/>
          <w:u w:val="single"/>
        </w:rPr>
        <w:t>自调整之日起，您将不得再行买入被调出的港股通标的</w:t>
      </w:r>
      <w:r>
        <w:rPr>
          <w:rFonts w:hint="eastAsia"/>
          <w:spacing w:val="0"/>
          <w:u w:val="single"/>
          <w:lang w:eastAsia="zh-CN"/>
        </w:rPr>
        <w:t>证券</w:t>
      </w:r>
      <w:r>
        <w:rPr>
          <w:spacing w:val="0"/>
          <w:u w:val="single"/>
        </w:rPr>
        <w:t>，只能卖出该</w:t>
      </w:r>
      <w:r>
        <w:rPr>
          <w:rFonts w:hint="eastAsia"/>
          <w:spacing w:val="0"/>
          <w:u w:val="single"/>
          <w:lang w:eastAsia="zh-CN"/>
        </w:rPr>
        <w:t>证券</w:t>
      </w:r>
      <w:r>
        <w:rPr>
          <w:spacing w:val="0"/>
          <w:u w:val="single"/>
        </w:rPr>
        <w:t>,并可能承担由此造成的损失</w:t>
      </w:r>
      <w:r>
        <w:rPr>
          <w:spacing w:val="-3"/>
          <w:u w:val="single"/>
        </w:rPr>
        <w:t>。</w:t>
      </w:r>
    </w:p>
    <w:p>
      <w:pPr>
        <w:pStyle w:val="4"/>
        <w:spacing w:before="61" w:line="319" w:lineRule="auto"/>
        <w:jc w:val="both"/>
      </w:pPr>
      <w:r>
        <w:rPr>
          <w:b/>
          <w:spacing w:val="-23"/>
        </w:rPr>
        <w:t>三、【额度限制的风险】：</w:t>
      </w:r>
      <w:r>
        <w:rPr>
          <w:spacing w:val="0"/>
        </w:rPr>
        <w:t>港股通业务实行每日额度控制。在香港联合交易所有限公司</w:t>
      </w:r>
      <w:r>
        <w:t>（</w:t>
      </w:r>
      <w:r>
        <w:rPr>
          <w:spacing w:val="0"/>
        </w:rPr>
        <w:t>以下简称“联交所”）开市前阶段，当日额度使用完毕的，您新增的买单申报将面临失败的风险；在联交所持续交易时段或收市竞价时段，港股通当日额度使用完毕的，当日您将面临不能通过港股通进行买入交易的风险。</w:t>
      </w:r>
    </w:p>
    <w:p>
      <w:pPr>
        <w:pStyle w:val="4"/>
        <w:spacing w:before="0" w:line="319" w:lineRule="auto"/>
        <w:ind w:right="448"/>
        <w:rPr>
          <w:u w:val="single"/>
        </w:rPr>
      </w:pPr>
      <w:r>
        <w:rPr>
          <w:b/>
          <w:spacing w:val="-34"/>
        </w:rPr>
        <w:t>四、【交易日的风险】：</w:t>
      </w:r>
      <w:r>
        <w:rPr>
          <w:rFonts w:hint="eastAsia"/>
          <w:spacing w:val="0"/>
          <w:u w:val="single"/>
        </w:rPr>
        <w:t>深港通交易日历优化正式实施后，只有深港两地均为交易日的日期才为港股通交易日，具体以深圳证券交易所(以下简称深交所)证券交易服务公司在其指定网站公布的日期为准。</w:t>
      </w:r>
    </w:p>
    <w:p>
      <w:pPr>
        <w:pStyle w:val="4"/>
        <w:spacing w:before="0" w:line="319" w:lineRule="auto"/>
        <w:ind w:right="448" w:firstLine="420" w:firstLineChars="200"/>
      </w:pPr>
      <w:r>
        <w:rPr>
          <w:spacing w:val="0"/>
          <w:u w:val="single"/>
        </w:rPr>
        <w:t>圣诞前夕（12月24日）、元旦前夕（12</w:t>
      </w:r>
      <w:r>
        <w:rPr>
          <w:u w:val="single"/>
        </w:rPr>
        <w:t>月31</w:t>
      </w:r>
      <w:r>
        <w:rPr>
          <w:spacing w:val="0"/>
          <w:u w:val="single"/>
        </w:rPr>
        <w:t>日）或除夕日为港股通交易日的，港股通仅有半天交易，且当日为非交收日。</w:t>
      </w:r>
    </w:p>
    <w:p>
      <w:pPr>
        <w:pStyle w:val="4"/>
        <w:spacing w:before="0" w:line="319" w:lineRule="auto"/>
        <w:jc w:val="both"/>
      </w:pPr>
      <w:r>
        <w:rPr>
          <w:b/>
          <w:spacing w:val="-24"/>
        </w:rPr>
        <w:t>五、【</w:t>
      </w:r>
      <w:r>
        <w:rPr>
          <w:rFonts w:hint="eastAsia"/>
          <w:b/>
          <w:spacing w:val="-24"/>
          <w:lang w:eastAsia="zh-CN"/>
        </w:rPr>
        <w:t>证券价格</w:t>
      </w:r>
      <w:r>
        <w:rPr>
          <w:b/>
          <w:spacing w:val="-24"/>
        </w:rPr>
        <w:t>波动风险】：</w:t>
      </w:r>
      <w:r>
        <w:rPr>
          <w:spacing w:val="0"/>
        </w:rPr>
        <w:t>港股通</w:t>
      </w:r>
      <w:r>
        <w:rPr>
          <w:rFonts w:hint="eastAsia"/>
          <w:spacing w:val="0"/>
          <w:lang w:eastAsia="zh-CN"/>
        </w:rPr>
        <w:t>证券</w:t>
      </w:r>
      <w:r>
        <w:rPr>
          <w:spacing w:val="0"/>
        </w:rPr>
        <w:t>尤其是部分中小市值</w:t>
      </w:r>
      <w:r>
        <w:rPr>
          <w:rFonts w:hint="eastAsia"/>
          <w:spacing w:val="0"/>
          <w:lang w:eastAsia="zh-CN"/>
        </w:rPr>
        <w:t>证券</w:t>
      </w:r>
      <w:r>
        <w:rPr>
          <w:spacing w:val="0"/>
        </w:rPr>
        <w:t>，可能出现因公司基本面变化、第三方研究分析报告的观点、异常交易情形、做空机制等原因而引起</w:t>
      </w:r>
      <w:r>
        <w:rPr>
          <w:rFonts w:hint="eastAsia"/>
          <w:spacing w:val="0"/>
          <w:lang w:eastAsia="zh-CN"/>
        </w:rPr>
        <w:t>证券价格</w:t>
      </w:r>
      <w:r>
        <w:rPr>
          <w:spacing w:val="0"/>
        </w:rPr>
        <w:t>较大波动的情形</w:t>
      </w:r>
      <w:r>
        <w:rPr>
          <w:rFonts w:hint="eastAsia"/>
          <w:spacing w:val="0"/>
        </w:rPr>
        <w:t>；港股通股票可能因为上市公司注册地或者主营业务经营所在地的政策法律变化、境外市场联动以及其他原因而引起股价较大波动；港股通ETF可能出现因跟踪标的指数成份证券大幅波动、流动性不佳、受有关场外结构化产品影响、交易异常情形等原因而引起价格较大波动、折溢价率和跟踪误差偏离合理区间等情形</w:t>
      </w:r>
      <w:r>
        <w:rPr>
          <w:spacing w:val="0"/>
        </w:rPr>
        <w:t>，</w:t>
      </w:r>
      <w:r>
        <w:rPr>
          <w:spacing w:val="0"/>
          <w:u w:val="single"/>
        </w:rPr>
        <w:t>尤</w:t>
      </w:r>
      <w:r>
        <w:rPr>
          <w:rFonts w:hint="default"/>
          <w:spacing w:val="0"/>
          <w:u w:val="single"/>
        </w:rPr>
        <w:t>其是考虑到联交所市场股票及ETF交易不设置涨跌幅限制，极端情况下可能导致您的投资本金大幅亏损</w:t>
      </w:r>
      <w:r>
        <w:rPr>
          <w:spacing w:val="-3"/>
        </w:rPr>
        <w:t>，</w:t>
      </w:r>
      <w:r>
        <w:rPr>
          <w:spacing w:val="0"/>
        </w:rPr>
        <w:t>您应当关注可能产生的风险。</w:t>
      </w:r>
    </w:p>
    <w:p>
      <w:pPr>
        <w:pStyle w:val="4"/>
        <w:spacing w:before="1" w:line="319" w:lineRule="auto"/>
        <w:jc w:val="both"/>
      </w:pPr>
      <w:r>
        <w:rPr>
          <w:b/>
          <w:spacing w:val="-23"/>
        </w:rPr>
        <w:t>六、【“老千股”风险】：</w:t>
      </w:r>
      <w:r>
        <w:rPr>
          <w:spacing w:val="0"/>
          <w:u w:val="single"/>
        </w:rPr>
        <w:t>部分港股通上市公司基本面变化大，</w:t>
      </w:r>
      <w:r>
        <w:rPr>
          <w:rFonts w:hint="eastAsia"/>
          <w:spacing w:val="0"/>
          <w:u w:val="single"/>
          <w:lang w:val="en-US" w:eastAsia="zh-CN"/>
        </w:rPr>
        <w:t>股票</w:t>
      </w:r>
      <w:r>
        <w:rPr>
          <w:spacing w:val="0"/>
          <w:u w:val="single"/>
        </w:rPr>
        <w:t>价格低，</w:t>
      </w:r>
      <w:r>
        <w:rPr>
          <w:rFonts w:hint="default"/>
          <w:spacing w:val="0"/>
          <w:u w:val="single"/>
        </w:rPr>
        <w:t>可能存在大比例折价供股或配股、频繁分拆合并股份的行为</w:t>
      </w:r>
      <w:r>
        <w:rPr>
          <w:spacing w:val="0"/>
          <w:u w:val="single"/>
        </w:rPr>
        <w:t>，您持有的股份数量、</w:t>
      </w:r>
      <w:r>
        <w:rPr>
          <w:rFonts w:hint="eastAsia"/>
          <w:spacing w:val="0"/>
          <w:u w:val="single"/>
          <w:lang w:val="en-US" w:eastAsia="zh-CN"/>
        </w:rPr>
        <w:t>股票</w:t>
      </w:r>
      <w:r>
        <w:rPr>
          <w:spacing w:val="0"/>
          <w:u w:val="single"/>
        </w:rPr>
        <w:t>面值可能发生大幅变化，您应当关注可能产生的风险。</w:t>
      </w:r>
    </w:p>
    <w:p>
      <w:pPr>
        <w:pStyle w:val="4"/>
        <w:spacing w:line="319" w:lineRule="auto"/>
        <w:jc w:val="both"/>
      </w:pPr>
      <w:r>
        <w:rPr>
          <w:b/>
          <w:spacing w:val="-35"/>
        </w:rPr>
        <w:t>七、【投票权差异风险】：</w:t>
      </w:r>
      <w:r>
        <w:rPr>
          <w:spacing w:val="0"/>
        </w:rPr>
        <w:t>部分港股通上市公司存在不同投票权安排，公司可能因存在控制权相对集中，或因某特定类别股份拥有的投票权利大于或优于普通股份拥有的投票权利等情形，而使普通投资者的投票权利及对公司日常经营等事务的影响力受到限制，您应当关注可能产生的风险。</w:t>
      </w:r>
    </w:p>
    <w:p>
      <w:pPr>
        <w:pStyle w:val="4"/>
        <w:spacing w:before="4" w:line="319" w:lineRule="auto"/>
        <w:rPr>
          <w:spacing w:val="0"/>
        </w:rPr>
      </w:pPr>
      <w:r>
        <w:rPr>
          <w:b/>
          <w:spacing w:val="-20"/>
        </w:rPr>
        <w:t>八、【生物科技公司风险】</w:t>
      </w:r>
      <w:r>
        <w:rPr>
          <w:spacing w:val="0"/>
        </w:rPr>
        <w:t>部分港股通生物科技公司可能存在公开发行并上市时尚未有收入，上市后仍无收入、持续亏损、无法进行利润分配等情形，您应当关注可能产生的风险。</w:t>
      </w:r>
    </w:p>
    <w:p>
      <w:pPr>
        <w:pStyle w:val="4"/>
        <w:spacing w:before="4" w:line="319" w:lineRule="auto"/>
        <w:rPr>
          <w:spacing w:val="0"/>
        </w:rPr>
      </w:pPr>
      <w:r>
        <w:rPr>
          <w:rFonts w:hint="eastAsia" w:ascii="仿宋" w:hAnsi="仿宋" w:eastAsia="仿宋" w:cs="仿宋"/>
          <w:b/>
          <w:bCs/>
          <w:color w:val="484848"/>
          <w:spacing w:val="0"/>
          <w:sz w:val="21"/>
          <w:szCs w:val="21"/>
          <w:lang w:val="en-US" w:eastAsia="zh-CN"/>
        </w:rPr>
        <w:t>九、</w:t>
      </w:r>
      <w:r>
        <w:rPr>
          <w:rFonts w:hint="eastAsia" w:ascii="仿宋" w:hAnsi="仿宋" w:eastAsia="仿宋" w:cs="仿宋"/>
          <w:b/>
          <w:bCs/>
          <w:color w:val="484848"/>
          <w:sz w:val="21"/>
          <w:szCs w:val="21"/>
        </w:rPr>
        <w:t>【资讯获取及理解风险】</w:t>
      </w:r>
      <w:r>
        <w:rPr>
          <w:rFonts w:hint="eastAsia" w:ascii="仿宋" w:hAnsi="仿宋" w:eastAsia="仿宋" w:cs="仿宋"/>
          <w:color w:val="484848"/>
          <w:spacing w:val="0"/>
          <w:sz w:val="21"/>
          <w:szCs w:val="21"/>
        </w:rPr>
        <w:t>部分港股通股票可能因为上市公司注册地、主营业务经营所在地法律法规、语言或者文化习惯等与内地存在差异，导致投资者较难获取或者理解公司实际经营状况相关资讯。</w:t>
      </w:r>
    </w:p>
    <w:p>
      <w:pPr>
        <w:pStyle w:val="4"/>
        <w:spacing w:line="319" w:lineRule="auto"/>
      </w:pPr>
      <w:r>
        <w:rPr>
          <w:rFonts w:hint="eastAsia"/>
          <w:b/>
          <w:spacing w:val="-27"/>
          <w:lang w:val="en-US" w:eastAsia="zh-CN"/>
        </w:rPr>
        <w:t>十</w:t>
      </w:r>
      <w:r>
        <w:rPr>
          <w:b/>
          <w:spacing w:val="-27"/>
        </w:rPr>
        <w:t>、【停牌风险】：</w:t>
      </w:r>
      <w:r>
        <w:rPr>
          <w:spacing w:val="0"/>
        </w:rPr>
        <w:t>与内地证券市场相比，香港市场</w:t>
      </w:r>
      <w:r>
        <w:rPr>
          <w:rFonts w:hint="eastAsia"/>
          <w:spacing w:val="0"/>
          <w:lang w:eastAsia="zh-CN"/>
        </w:rPr>
        <w:t>证券</w:t>
      </w:r>
      <w:r>
        <w:rPr>
          <w:spacing w:val="0"/>
        </w:rPr>
        <w:t>停牌制度存在一定差异，</w:t>
      </w:r>
      <w:r>
        <w:rPr>
          <w:spacing w:val="0"/>
          <w:u w:val="single"/>
        </w:rPr>
        <w:t>港股通</w:t>
      </w:r>
      <w:r>
        <w:rPr>
          <w:rFonts w:hint="eastAsia"/>
          <w:spacing w:val="0"/>
          <w:u w:val="single"/>
          <w:lang w:eastAsia="zh-CN"/>
        </w:rPr>
        <w:t>证券</w:t>
      </w:r>
      <w:r>
        <w:rPr>
          <w:rFonts w:hint="default"/>
          <w:spacing w:val="0"/>
          <w:u w:val="single"/>
        </w:rPr>
        <w:t>可能出现长时间停牌现象</w:t>
      </w:r>
      <w:r>
        <w:rPr>
          <w:spacing w:val="0"/>
          <w:u w:val="single"/>
        </w:rPr>
        <w:t>，您应当关注可能产生的风险</w:t>
      </w:r>
      <w:r>
        <w:rPr>
          <w:u w:val="none"/>
        </w:rPr>
        <w:t>。</w:t>
      </w:r>
    </w:p>
    <w:p>
      <w:pPr>
        <w:pStyle w:val="4"/>
        <w:spacing w:line="319" w:lineRule="auto"/>
        <w:ind w:right="443"/>
        <w:rPr>
          <w:spacing w:val="0"/>
          <w:u w:val="single"/>
        </w:rPr>
      </w:pPr>
      <w:r>
        <w:rPr>
          <w:b/>
          <w:spacing w:val="-25"/>
        </w:rPr>
        <w:t>十</w:t>
      </w:r>
      <w:r>
        <w:rPr>
          <w:rFonts w:hint="eastAsia"/>
          <w:b/>
          <w:spacing w:val="-25"/>
          <w:lang w:val="en-US" w:eastAsia="zh-CN"/>
        </w:rPr>
        <w:t>一</w:t>
      </w:r>
      <w:r>
        <w:rPr>
          <w:b/>
          <w:spacing w:val="-25"/>
        </w:rPr>
        <w:t>、【退市风险】：</w:t>
      </w:r>
      <w:r>
        <w:rPr>
          <w:spacing w:val="0"/>
        </w:rPr>
        <w:t>与内地证券市场相比，联交所市场</w:t>
      </w:r>
      <w:r>
        <w:rPr>
          <w:rFonts w:hint="eastAsia"/>
          <w:spacing w:val="0"/>
          <w:lang w:eastAsia="zh-CN"/>
        </w:rPr>
        <w:t>证券</w:t>
      </w:r>
      <w:r>
        <w:rPr>
          <w:spacing w:val="0"/>
        </w:rPr>
        <w:t>交易没有退市风险警示、退市整理等安排，相关</w:t>
      </w:r>
      <w:r>
        <w:rPr>
          <w:rFonts w:hint="eastAsia"/>
          <w:spacing w:val="0"/>
          <w:lang w:eastAsia="zh-CN"/>
        </w:rPr>
        <w:t>证券</w:t>
      </w:r>
      <w:r>
        <w:rPr>
          <w:spacing w:val="0"/>
        </w:rPr>
        <w:t>可能存在直接退市的风险。港股通</w:t>
      </w:r>
      <w:r>
        <w:rPr>
          <w:rFonts w:hint="eastAsia"/>
          <w:spacing w:val="0"/>
          <w:lang w:eastAsia="zh-CN"/>
        </w:rPr>
        <w:t>证券</w:t>
      </w:r>
      <w:r>
        <w:rPr>
          <w:spacing w:val="0"/>
        </w:rPr>
        <w:t>一旦从联交所市场退市，您将面临无法继续通过港股通买卖相关</w:t>
      </w:r>
      <w:r>
        <w:rPr>
          <w:rFonts w:hint="eastAsia"/>
          <w:spacing w:val="0"/>
          <w:lang w:eastAsia="zh-CN"/>
        </w:rPr>
        <w:t>证券</w:t>
      </w:r>
      <w:r>
        <w:rPr>
          <w:spacing w:val="0"/>
        </w:rPr>
        <w:t>的风险。</w:t>
      </w:r>
      <w:r>
        <w:rPr>
          <w:rFonts w:hint="eastAsia"/>
          <w:spacing w:val="0"/>
          <w:u w:val="single"/>
        </w:rPr>
        <w:t>港股通股票退市后，因香港结算可能无法比照退市前标准提供名义持有人服务，中国结算通过香港结算为投资者提供的退市股票名义持有人服务可能会受限。</w:t>
      </w:r>
    </w:p>
    <w:p>
      <w:pPr>
        <w:pStyle w:val="4"/>
        <w:spacing w:line="319" w:lineRule="auto"/>
        <w:ind w:right="443"/>
        <w:rPr>
          <w:rFonts w:hint="eastAsia"/>
          <w:spacing w:val="0"/>
          <w:u w:val="single"/>
        </w:rPr>
      </w:pPr>
      <w:r>
        <w:rPr>
          <w:rFonts w:hint="eastAsia"/>
          <w:b/>
          <w:bCs/>
          <w:spacing w:val="0"/>
          <w:u w:val="single"/>
        </w:rPr>
        <w:t>十</w:t>
      </w:r>
      <w:r>
        <w:rPr>
          <w:rFonts w:hint="eastAsia"/>
          <w:b/>
          <w:bCs/>
          <w:spacing w:val="0"/>
          <w:u w:val="single"/>
          <w:lang w:val="en-US" w:eastAsia="zh-CN"/>
        </w:rPr>
        <w:t>二</w:t>
      </w:r>
      <w:r>
        <w:rPr>
          <w:rFonts w:hint="eastAsia"/>
          <w:b/>
          <w:bCs/>
          <w:spacing w:val="0"/>
          <w:u w:val="single"/>
        </w:rPr>
        <w:t>、【ETF退市或更换管理人风险】：</w:t>
      </w:r>
      <w:r>
        <w:rPr>
          <w:rFonts w:hint="eastAsia"/>
          <w:spacing w:val="0"/>
          <w:u w:val="single"/>
        </w:rPr>
        <w:t>与内地证券市场相比，香港市场ETF终止上市</w:t>
      </w:r>
      <w:r>
        <w:rPr>
          <w:rFonts w:hint="eastAsia"/>
          <w:spacing w:val="0"/>
          <w:u w:val="single"/>
          <w:lang w:eastAsia="zh-CN"/>
        </w:rPr>
        <w:t>或者</w:t>
      </w:r>
      <w:r>
        <w:rPr>
          <w:rFonts w:hint="eastAsia"/>
          <w:spacing w:val="0"/>
          <w:u w:val="single"/>
        </w:rPr>
        <w:t>更换基金管理人等制度安排存在一定差异，港股通ETF可能因基金管理人主动退出香港市场导致终止上市</w:t>
      </w:r>
      <w:r>
        <w:rPr>
          <w:rFonts w:hint="eastAsia"/>
          <w:spacing w:val="0"/>
          <w:u w:val="single"/>
          <w:lang w:eastAsia="zh-CN"/>
        </w:rPr>
        <w:t>或者</w:t>
      </w:r>
      <w:r>
        <w:rPr>
          <w:rFonts w:hint="eastAsia"/>
          <w:spacing w:val="0"/>
          <w:u w:val="single"/>
        </w:rPr>
        <w:t>更换基金管理人，您应当关注可能产生的风险。</w:t>
      </w:r>
    </w:p>
    <w:p>
      <w:pPr>
        <w:pStyle w:val="4"/>
        <w:spacing w:line="319" w:lineRule="auto"/>
        <w:ind w:right="443"/>
        <w:rPr>
          <w:spacing w:val="0"/>
          <w:u w:val="single"/>
        </w:rPr>
      </w:pPr>
      <w:r>
        <w:rPr>
          <w:rFonts w:hint="eastAsia"/>
          <w:b/>
          <w:bCs/>
          <w:spacing w:val="0"/>
          <w:u w:val="single"/>
        </w:rPr>
        <w:t>十</w:t>
      </w:r>
      <w:r>
        <w:rPr>
          <w:rFonts w:hint="eastAsia"/>
          <w:b/>
          <w:bCs/>
          <w:spacing w:val="0"/>
          <w:u w:val="single"/>
          <w:lang w:val="en-US" w:eastAsia="zh-CN"/>
        </w:rPr>
        <w:t>三</w:t>
      </w:r>
      <w:r>
        <w:rPr>
          <w:rFonts w:hint="eastAsia"/>
          <w:b/>
          <w:bCs/>
          <w:spacing w:val="0"/>
          <w:u w:val="single"/>
        </w:rPr>
        <w:t>、【ETF清盘风险】：</w:t>
      </w:r>
      <w:r>
        <w:rPr>
          <w:rFonts w:hint="eastAsia"/>
          <w:spacing w:val="0"/>
          <w:u w:val="single"/>
        </w:rPr>
        <w:t>与内地证券市场相比，香港市场ETF发生清盘业务，将基金资产变现所得的资金派发给投资者后，投资者证券账户中相应基金份额的注销日与清盘资金发放日之间可能间隔较长时间，对清盘后尚未注销的基金份额，您应审慎评估其价值。</w:t>
      </w:r>
    </w:p>
    <w:p>
      <w:pPr>
        <w:spacing w:before="4" w:line="319" w:lineRule="auto"/>
        <w:ind w:left="253" w:right="546" w:firstLine="422"/>
        <w:jc w:val="left"/>
        <w:rPr>
          <w:sz w:val="21"/>
          <w:szCs w:val="21"/>
        </w:rPr>
      </w:pPr>
      <w:r>
        <w:rPr>
          <w:b/>
          <w:spacing w:val="-21"/>
          <w:sz w:val="21"/>
        </w:rPr>
        <w:t>十</w:t>
      </w:r>
      <w:r>
        <w:rPr>
          <w:rFonts w:hint="eastAsia"/>
          <w:b/>
          <w:spacing w:val="-21"/>
          <w:sz w:val="21"/>
          <w:lang w:val="en-US" w:eastAsia="zh-CN"/>
        </w:rPr>
        <w:t>四</w:t>
      </w:r>
      <w:r>
        <w:rPr>
          <w:b/>
          <w:spacing w:val="-21"/>
          <w:sz w:val="21"/>
        </w:rPr>
        <w:t>、【交易时段的风险】：</w:t>
      </w:r>
      <w:r>
        <w:rPr>
          <w:spacing w:val="0"/>
          <w:sz w:val="21"/>
          <w:szCs w:val="21"/>
        </w:rPr>
        <w:t>每个港股通交易日的交易时间包括开市前时段、持续交易时段和收市竞价交易时段，具体须按联交所的规定执行。</w:t>
      </w:r>
    </w:p>
    <w:p>
      <w:pPr>
        <w:pStyle w:val="4"/>
        <w:spacing w:line="319" w:lineRule="auto"/>
        <w:ind w:firstLine="420"/>
        <w:jc w:val="both"/>
      </w:pPr>
      <w:r>
        <w:t>由于我司交易系统服务器的时间与联交所自动对盘系统时间无法确保完全一致，您在9:00</w:t>
      </w:r>
      <w:r>
        <w:rPr>
          <w:spacing w:val="0"/>
        </w:rPr>
        <w:t>、</w:t>
      </w:r>
      <w:r>
        <w:t>9:30、12:30</w:t>
      </w:r>
      <w:r>
        <w:rPr>
          <w:spacing w:val="0"/>
        </w:rPr>
        <w:t>、</w:t>
      </w:r>
      <w:r>
        <w:t>13:00和16:10</w:t>
      </w:r>
      <w:r>
        <w:rPr>
          <w:spacing w:val="0"/>
        </w:rPr>
        <w:t>五个关键时间点附近进行委托申报,可能会因提前到达联交所自动对盘系统而导致废单或可能延迟少许时间到达联交所自动对盘系统，您的委托申报可能面临无法成交的风险。请您审慎把握委托申报时间，及时查看委托状态，我司对因时间误差所造成的损失不承担民事赔偿责任，但存在重大过错的除外。</w:t>
      </w:r>
    </w:p>
    <w:p>
      <w:pPr>
        <w:spacing w:before="4"/>
        <w:ind w:left="675" w:right="0" w:firstLine="0"/>
        <w:jc w:val="left"/>
        <w:rPr>
          <w:sz w:val="21"/>
          <w:szCs w:val="21"/>
          <w:u w:val="single"/>
        </w:rPr>
      </w:pPr>
      <w:r>
        <w:rPr>
          <w:b/>
          <w:sz w:val="21"/>
        </w:rPr>
        <w:t>十</w:t>
      </w:r>
      <w:r>
        <w:rPr>
          <w:rFonts w:hint="eastAsia"/>
          <w:b/>
          <w:sz w:val="21"/>
          <w:lang w:val="en-US" w:eastAsia="zh-CN"/>
        </w:rPr>
        <w:t>五</w:t>
      </w:r>
      <w:r>
        <w:rPr>
          <w:b/>
          <w:sz w:val="21"/>
        </w:rPr>
        <w:t>、【转托管限制的风险】：</w:t>
      </w:r>
      <w:r>
        <w:rPr>
          <w:sz w:val="21"/>
          <w:szCs w:val="21"/>
          <w:u w:val="single"/>
        </w:rPr>
        <w:t>您的帐户存在以下情形时，不可以办理转托管：</w:t>
      </w:r>
    </w:p>
    <w:p>
      <w:pPr>
        <w:pStyle w:val="10"/>
        <w:numPr>
          <w:ilvl w:val="1"/>
          <w:numId w:val="1"/>
        </w:numPr>
        <w:tabs>
          <w:tab w:val="left" w:pos="1093"/>
          <w:tab w:val="left" w:pos="1094"/>
        </w:tabs>
        <w:spacing w:before="91" w:after="0" w:line="240" w:lineRule="auto"/>
        <w:ind w:left="1093" w:right="0" w:hanging="421"/>
        <w:jc w:val="left"/>
        <w:rPr>
          <w:sz w:val="21"/>
          <w:szCs w:val="21"/>
          <w:u w:val="single"/>
        </w:rPr>
      </w:pPr>
      <w:r>
        <w:rPr>
          <w:spacing w:val="0"/>
          <w:w w:val="100"/>
          <w:sz w:val="21"/>
          <w:szCs w:val="21"/>
          <w:u w:val="single"/>
        </w:rPr>
        <w:t>未完成交收证券</w:t>
      </w:r>
      <w:r>
        <w:rPr>
          <w:w w:val="100"/>
          <w:sz w:val="21"/>
          <w:szCs w:val="21"/>
          <w:u w:val="single"/>
        </w:rPr>
        <w:t>（</w:t>
      </w:r>
      <w:r>
        <w:rPr>
          <w:spacing w:val="0"/>
          <w:w w:val="100"/>
          <w:sz w:val="21"/>
          <w:szCs w:val="21"/>
          <w:u w:val="single"/>
        </w:rPr>
        <w:t>当日日终交收到账的除外）</w:t>
      </w:r>
      <w:r>
        <w:rPr>
          <w:w w:val="100"/>
          <w:sz w:val="21"/>
          <w:szCs w:val="21"/>
          <w:u w:val="single"/>
        </w:rPr>
        <w:t>；</w:t>
      </w:r>
    </w:p>
    <w:p>
      <w:pPr>
        <w:pStyle w:val="10"/>
        <w:numPr>
          <w:ilvl w:val="1"/>
          <w:numId w:val="1"/>
        </w:numPr>
        <w:tabs>
          <w:tab w:val="left" w:pos="1093"/>
          <w:tab w:val="left" w:pos="1094"/>
        </w:tabs>
        <w:spacing w:before="89" w:after="0" w:line="240" w:lineRule="auto"/>
        <w:ind w:left="1093" w:right="0" w:hanging="421"/>
        <w:jc w:val="left"/>
        <w:rPr>
          <w:sz w:val="21"/>
          <w:szCs w:val="21"/>
          <w:u w:val="single"/>
        </w:rPr>
      </w:pPr>
      <w:r>
        <w:rPr>
          <w:spacing w:val="0"/>
          <w:w w:val="100"/>
          <w:sz w:val="21"/>
          <w:szCs w:val="21"/>
          <w:u w:val="single"/>
        </w:rPr>
        <w:t>冻结的证券、权益（整体转托管除外）</w:t>
      </w:r>
      <w:r>
        <w:rPr>
          <w:w w:val="100"/>
          <w:sz w:val="21"/>
          <w:szCs w:val="21"/>
          <w:u w:val="single"/>
        </w:rPr>
        <w:t>；</w:t>
      </w:r>
    </w:p>
    <w:p>
      <w:pPr>
        <w:pStyle w:val="10"/>
        <w:numPr>
          <w:ilvl w:val="1"/>
          <w:numId w:val="1"/>
        </w:numPr>
        <w:tabs>
          <w:tab w:val="left" w:pos="1093"/>
          <w:tab w:val="left" w:pos="1094"/>
        </w:tabs>
        <w:spacing w:before="91" w:after="0" w:line="240" w:lineRule="auto"/>
        <w:ind w:left="1093" w:right="0" w:hanging="421"/>
        <w:jc w:val="left"/>
        <w:rPr>
          <w:sz w:val="21"/>
          <w:szCs w:val="21"/>
          <w:u w:val="single"/>
        </w:rPr>
      </w:pPr>
      <w:r>
        <w:rPr>
          <w:spacing w:val="0"/>
          <w:w w:val="100"/>
          <w:sz w:val="21"/>
          <w:szCs w:val="21"/>
          <w:u w:val="single"/>
        </w:rPr>
        <w:t>申报经确认的红利权、收购权（整体转托管除外）</w:t>
      </w:r>
      <w:r>
        <w:rPr>
          <w:w w:val="100"/>
          <w:sz w:val="21"/>
          <w:szCs w:val="21"/>
          <w:u w:val="single"/>
        </w:rPr>
        <w:t>；</w:t>
      </w:r>
    </w:p>
    <w:p>
      <w:pPr>
        <w:pStyle w:val="10"/>
        <w:numPr>
          <w:ilvl w:val="1"/>
          <w:numId w:val="1"/>
        </w:numPr>
        <w:tabs>
          <w:tab w:val="left" w:pos="1093"/>
          <w:tab w:val="left" w:pos="1094"/>
        </w:tabs>
        <w:spacing w:before="88" w:after="0" w:line="240" w:lineRule="auto"/>
        <w:ind w:left="1093" w:right="0" w:hanging="421"/>
        <w:jc w:val="left"/>
        <w:rPr>
          <w:sz w:val="21"/>
          <w:szCs w:val="21"/>
          <w:u w:val="single"/>
        </w:rPr>
      </w:pPr>
      <w:r>
        <w:rPr>
          <w:spacing w:val="0"/>
          <w:w w:val="100"/>
          <w:sz w:val="21"/>
          <w:szCs w:val="21"/>
          <w:u w:val="single"/>
        </w:rPr>
        <w:t>股利选择权申报、供股认购申报、投票等委托类指令</w:t>
      </w:r>
      <w:r>
        <w:rPr>
          <w:w w:val="100"/>
          <w:sz w:val="21"/>
          <w:szCs w:val="21"/>
          <w:u w:val="single"/>
        </w:rPr>
        <w:t>（</w:t>
      </w:r>
      <w:r>
        <w:rPr>
          <w:spacing w:val="0"/>
          <w:w w:val="100"/>
          <w:sz w:val="21"/>
          <w:szCs w:val="21"/>
          <w:u w:val="single"/>
        </w:rPr>
        <w:t>整体转托管除外）</w:t>
      </w:r>
      <w:r>
        <w:rPr>
          <w:w w:val="100"/>
          <w:sz w:val="21"/>
          <w:szCs w:val="21"/>
          <w:u w:val="single"/>
        </w:rPr>
        <w:t>；</w:t>
      </w:r>
    </w:p>
    <w:p>
      <w:pPr>
        <w:pStyle w:val="10"/>
        <w:numPr>
          <w:ilvl w:val="1"/>
          <w:numId w:val="1"/>
        </w:numPr>
        <w:tabs>
          <w:tab w:val="left" w:pos="1093"/>
          <w:tab w:val="left" w:pos="1094"/>
        </w:tabs>
        <w:spacing w:before="91" w:after="0" w:line="240" w:lineRule="auto"/>
        <w:ind w:left="1093" w:right="0" w:hanging="421"/>
        <w:jc w:val="left"/>
        <w:rPr>
          <w:sz w:val="21"/>
          <w:szCs w:val="21"/>
          <w:u w:val="single"/>
        </w:rPr>
      </w:pPr>
      <w:r>
        <w:rPr>
          <w:spacing w:val="0"/>
          <w:sz w:val="21"/>
          <w:szCs w:val="21"/>
          <w:u w:val="single"/>
        </w:rPr>
        <w:t>分拆及合并业务临时代码额度换算期间的原</w:t>
      </w:r>
      <w:r>
        <w:rPr>
          <w:rFonts w:hint="eastAsia"/>
          <w:spacing w:val="0"/>
          <w:sz w:val="21"/>
          <w:szCs w:val="21"/>
          <w:u w:val="single"/>
          <w:lang w:eastAsia="zh-CN"/>
        </w:rPr>
        <w:t>证券</w:t>
      </w:r>
      <w:r>
        <w:rPr>
          <w:spacing w:val="0"/>
          <w:sz w:val="21"/>
          <w:szCs w:val="21"/>
          <w:u w:val="single"/>
        </w:rPr>
        <w:t>代码；</w:t>
      </w:r>
    </w:p>
    <w:p>
      <w:pPr>
        <w:pStyle w:val="10"/>
        <w:numPr>
          <w:ilvl w:val="1"/>
          <w:numId w:val="1"/>
        </w:numPr>
        <w:tabs>
          <w:tab w:val="left" w:pos="1093"/>
          <w:tab w:val="left" w:pos="1094"/>
        </w:tabs>
        <w:spacing w:before="88" w:after="0" w:line="240" w:lineRule="auto"/>
        <w:ind w:left="1093" w:right="0" w:hanging="421"/>
        <w:jc w:val="left"/>
        <w:rPr>
          <w:sz w:val="21"/>
          <w:szCs w:val="21"/>
          <w:u w:val="single"/>
        </w:rPr>
      </w:pPr>
      <w:r>
        <w:rPr>
          <w:spacing w:val="0"/>
          <w:sz w:val="21"/>
          <w:szCs w:val="21"/>
          <w:u w:val="single"/>
        </w:rPr>
        <w:t>账户为不合格账户、休眠账户；</w:t>
      </w:r>
    </w:p>
    <w:p>
      <w:pPr>
        <w:pStyle w:val="10"/>
        <w:numPr>
          <w:ilvl w:val="1"/>
          <w:numId w:val="1"/>
        </w:numPr>
        <w:tabs>
          <w:tab w:val="left" w:pos="1093"/>
          <w:tab w:val="left" w:pos="1094"/>
        </w:tabs>
        <w:spacing w:before="88"/>
        <w:ind w:left="1093" w:right="0" w:hanging="421"/>
        <w:rPr>
          <w:sz w:val="21"/>
          <w:szCs w:val="21"/>
          <w:u w:val="single"/>
        </w:rPr>
      </w:pPr>
      <w:r>
        <w:rPr>
          <w:spacing w:val="0"/>
          <w:sz w:val="21"/>
          <w:szCs w:val="21"/>
          <w:u w:val="single"/>
        </w:rPr>
        <w:t>相关法律法规、证券登记结算机构业务规则和证券交易所交易规则规定的或者甲乙双方约定的其</w:t>
      </w:r>
      <w:r>
        <w:rPr>
          <w:sz w:val="21"/>
          <w:szCs w:val="21"/>
          <w:u w:val="single"/>
        </w:rPr>
        <w:t>他情形的。</w:t>
      </w:r>
    </w:p>
    <w:p>
      <w:pPr>
        <w:pStyle w:val="4"/>
        <w:spacing w:before="91" w:line="319" w:lineRule="auto"/>
        <w:ind w:right="443"/>
      </w:pPr>
      <w:r>
        <w:rPr>
          <w:b/>
          <w:spacing w:val="-22"/>
        </w:rPr>
        <w:t>十</w:t>
      </w:r>
      <w:r>
        <w:rPr>
          <w:rFonts w:hint="eastAsia"/>
          <w:b/>
          <w:spacing w:val="-22"/>
          <w:lang w:val="en-US" w:eastAsia="zh-CN"/>
        </w:rPr>
        <w:t>六</w:t>
      </w:r>
      <w:r>
        <w:rPr>
          <w:b/>
          <w:spacing w:val="-22"/>
        </w:rPr>
        <w:t>、【停市的风险】：</w:t>
      </w:r>
      <w:r>
        <w:rPr>
          <w:spacing w:val="0"/>
        </w:rPr>
        <w:t>香港出现台风、黑色暴雨或者联交所规定的其他情形时，联交所将可能停市，您将面临在停市期间无法进行港股通交易的风险；因不可抗力或出现深交所证券交易服务公司认定的交易异常情况时，深交所证券交易服务公司将可能暂停提供部分或者全部港股通服务，您将面临在暂停服务期间无法进行港股通交易的风险。深交所证券交易服务公司及深交所对由此采取相应处置措施造成的损失，不承担责任。</w:t>
      </w:r>
    </w:p>
    <w:p>
      <w:pPr>
        <w:pStyle w:val="4"/>
        <w:spacing w:before="4" w:line="319" w:lineRule="auto"/>
        <w:jc w:val="both"/>
      </w:pPr>
      <w:r>
        <w:rPr>
          <w:b/>
          <w:spacing w:val="-25"/>
        </w:rPr>
        <w:t>十</w:t>
      </w:r>
      <w:r>
        <w:rPr>
          <w:rFonts w:hint="eastAsia"/>
          <w:b/>
          <w:spacing w:val="-25"/>
          <w:lang w:val="en-US" w:eastAsia="zh-CN"/>
        </w:rPr>
        <w:t>七</w:t>
      </w:r>
      <w:r>
        <w:rPr>
          <w:b/>
          <w:spacing w:val="-25"/>
        </w:rPr>
        <w:t>、【汇率的风险】</w:t>
      </w:r>
      <w:r>
        <w:rPr>
          <w:spacing w:val="-12"/>
        </w:rPr>
        <w:t>：</w:t>
      </w:r>
      <w:r>
        <w:rPr>
          <w:spacing w:val="0"/>
          <w:u w:val="single"/>
        </w:rPr>
        <w:t>港股通交易以港币报价，您以人民币交收。</w:t>
      </w:r>
      <w:r>
        <w:rPr>
          <w:rFonts w:hint="default"/>
          <w:spacing w:val="0"/>
          <w:u w:val="single"/>
        </w:rPr>
        <w:t>您在交易时间内提交订单依据的港币买入参考汇率和卖出参考汇率</w:t>
      </w:r>
      <w:r>
        <w:rPr>
          <w:spacing w:val="0"/>
          <w:u w:val="single"/>
        </w:rPr>
        <w:t>，并不等于最终结算汇率。</w:t>
      </w:r>
      <w:r>
        <w:rPr>
          <w:spacing w:val="0"/>
        </w:rPr>
        <w:t>港股通交易日日终，中国结算将与换汇银行进行净额换汇，将换汇成本按成交金额分摊至每笔交易，确定交易实际适用的结算汇率。</w:t>
      </w:r>
      <w:r>
        <w:rPr>
          <w:rFonts w:hint="eastAsia"/>
          <w:spacing w:val="0"/>
        </w:rPr>
        <w:t>由于汇率波动可能导致换汇成本变化，导致您买入、卖出港股通证券的实际价格不同于买入参考价、卖出参考价。</w:t>
      </w:r>
    </w:p>
    <w:p>
      <w:pPr>
        <w:spacing w:before="4" w:line="319" w:lineRule="auto"/>
        <w:ind w:left="253" w:right="337" w:firstLine="422"/>
        <w:jc w:val="left"/>
        <w:rPr>
          <w:sz w:val="21"/>
        </w:rPr>
      </w:pPr>
      <w:r>
        <w:rPr>
          <w:b/>
          <w:spacing w:val="-17"/>
          <w:sz w:val="21"/>
        </w:rPr>
        <w:t>十</w:t>
      </w:r>
      <w:r>
        <w:rPr>
          <w:rFonts w:hint="eastAsia"/>
          <w:b/>
          <w:spacing w:val="-17"/>
          <w:sz w:val="21"/>
          <w:lang w:val="en-US" w:eastAsia="zh-CN"/>
        </w:rPr>
        <w:t>八</w:t>
      </w:r>
      <w:r>
        <w:rPr>
          <w:b/>
          <w:spacing w:val="-17"/>
          <w:sz w:val="21"/>
        </w:rPr>
        <w:t>、【订单类型、交易方式、订单不能更改的风险】：</w:t>
      </w:r>
      <w:r>
        <w:rPr>
          <w:spacing w:val="0"/>
          <w:sz w:val="21"/>
          <w:szCs w:val="21"/>
        </w:rPr>
        <w:t>您参与联交所自动对盘系统交易，在联交所开市前时段和收市竞价交易时段应当采用竞价限价盘委托，在联交所持续交易时段应当采用增强限价盘委托。已经申报的港股通订单，不得更改申报价格或申报数量。</w:t>
      </w:r>
    </w:p>
    <w:p>
      <w:pPr>
        <w:pStyle w:val="4"/>
        <w:spacing w:line="319" w:lineRule="auto"/>
        <w:ind w:firstLine="420"/>
        <w:jc w:val="both"/>
      </w:pPr>
      <w:r>
        <w:rPr>
          <w:spacing w:val="0"/>
        </w:rPr>
        <w:t>竞价限价盘是有指定价格的买卖盘，适用于开市前时段及收市竞价交易时段。指定价格应等于最终参考平衡价格或者较最终参考平衡价格更具有竞争力的竞价限价盘（也就是指定价格等于或高于最终参考平衡价格的买盘，或者指定价格等于或低于最终参考平衡价格的卖盘）或者可按照最终参考平衡价格进行对盘，取决于交易对手方是否有足够可以配对的买卖盘。竞价限价盘会根据价格及时间优先次序按最终参考平衡价格顺序对盘。在开市前时段结束后，任何未完成而输入价不偏离按盘价</w:t>
      </w:r>
      <w:r>
        <w:t>9</w:t>
      </w:r>
      <w:r>
        <w:rPr>
          <w:spacing w:val="0"/>
        </w:rPr>
        <w:t>倍或以上，也不低于按盘价九分之一或以下的竞价限价盘，都将自动转至持续交易时段，并且均被视为限价盘存于所输入价格的轮候队伍中。</w:t>
      </w:r>
    </w:p>
    <w:p>
      <w:pPr>
        <w:pStyle w:val="4"/>
        <w:spacing w:before="8" w:line="319" w:lineRule="auto"/>
        <w:ind w:firstLine="420"/>
        <w:jc w:val="both"/>
      </w:pPr>
      <w:r>
        <w:rPr>
          <w:spacing w:val="0"/>
        </w:rPr>
        <w:t>增强限价盘适用于持续交易时段，投资者可以其指定或者更优的价格买入或卖出</w:t>
      </w:r>
      <w:r>
        <w:rPr>
          <w:rFonts w:hint="eastAsia"/>
          <w:spacing w:val="0"/>
          <w:lang w:eastAsia="zh-CN"/>
        </w:rPr>
        <w:t>证券</w:t>
      </w:r>
      <w:r>
        <w:rPr>
          <w:spacing w:val="0"/>
        </w:rPr>
        <w:t>。增强限价盘可以同时与</w:t>
      </w:r>
      <w:r>
        <w:t>10</w:t>
      </w:r>
      <w:r>
        <w:rPr>
          <w:spacing w:val="0"/>
        </w:rPr>
        <w:t>条轮候队伍进行配对，也就是输入卖盘可以较最佳买盘价低</w:t>
      </w:r>
      <w:r>
        <w:t>9</w:t>
      </w:r>
      <w:r>
        <w:rPr>
          <w:spacing w:val="0"/>
        </w:rPr>
        <w:t>个价位，输入买盘可以较最佳</w:t>
      </w:r>
    </w:p>
    <w:p>
      <w:pPr>
        <w:pStyle w:val="4"/>
        <w:spacing w:line="319" w:lineRule="auto"/>
        <w:ind w:firstLine="0"/>
        <w:jc w:val="both"/>
      </w:pPr>
      <w:r>
        <w:rPr>
          <w:spacing w:val="0"/>
        </w:rPr>
        <w:t>卖盘价高</w:t>
      </w:r>
      <w:r>
        <w:t>9</w:t>
      </w:r>
      <w:r>
        <w:rPr>
          <w:spacing w:val="0"/>
        </w:rPr>
        <w:t>个价位。任何未能成交的买卖盘余额将按此前输入的指定限价转为一般限价盘，存于所输入价格的轮候队伍中。而在收市竞价交易时段开始时，系统里所有未成交而符合价格限制的限价盘及增强限价盘也会被视为竞价限价盘，自动转至收市竞价交易时段。</w:t>
      </w:r>
    </w:p>
    <w:p>
      <w:pPr>
        <w:spacing w:before="2" w:line="321" w:lineRule="auto"/>
        <w:ind w:left="253" w:right="546" w:firstLine="422"/>
        <w:jc w:val="left"/>
        <w:rPr>
          <w:sz w:val="21"/>
        </w:rPr>
      </w:pPr>
      <w:r>
        <w:rPr>
          <w:b/>
          <w:spacing w:val="-18"/>
          <w:sz w:val="21"/>
        </w:rPr>
        <w:t>十</w:t>
      </w:r>
      <w:r>
        <w:rPr>
          <w:rFonts w:hint="eastAsia"/>
          <w:b/>
          <w:spacing w:val="-18"/>
          <w:sz w:val="21"/>
          <w:lang w:val="en-US" w:eastAsia="zh-CN"/>
        </w:rPr>
        <w:t>九</w:t>
      </w:r>
      <w:r>
        <w:rPr>
          <w:b/>
          <w:spacing w:val="-18"/>
          <w:sz w:val="21"/>
        </w:rPr>
        <w:t>、【碎股交易存在限制的风险】：</w:t>
      </w:r>
      <w:r>
        <w:rPr>
          <w:spacing w:val="0"/>
          <w:sz w:val="21"/>
          <w:szCs w:val="21"/>
        </w:rPr>
        <w:t>您持有的碎股（碎股指不足一个买卖单位的证券）只能通过联交所半自动对盘碎股交易系统卖出。</w:t>
      </w:r>
      <w:r>
        <w:rPr>
          <w:spacing w:val="0"/>
          <w:sz w:val="21"/>
          <w:szCs w:val="21"/>
          <w:u w:val="single"/>
        </w:rPr>
        <w:t>您无法参与买入碎股</w:t>
      </w:r>
      <w:r>
        <w:rPr>
          <w:sz w:val="21"/>
        </w:rPr>
        <w:t>。</w:t>
      </w:r>
    </w:p>
    <w:p>
      <w:pPr>
        <w:pStyle w:val="4"/>
        <w:spacing w:before="0" w:line="319" w:lineRule="auto"/>
        <w:jc w:val="both"/>
      </w:pPr>
      <w:r>
        <w:rPr>
          <w:rFonts w:hint="eastAsia"/>
          <w:b/>
          <w:spacing w:val="-19"/>
          <w:lang w:val="en-US" w:eastAsia="zh-CN"/>
        </w:rPr>
        <w:t>二十</w:t>
      </w:r>
      <w:r>
        <w:rPr>
          <w:b/>
          <w:spacing w:val="-19"/>
        </w:rPr>
        <w:t>、【</w:t>
      </w:r>
      <w:r>
        <w:rPr>
          <w:rFonts w:hint="eastAsia"/>
          <w:b/>
          <w:spacing w:val="-19"/>
          <w:lang w:val="en-US" w:eastAsia="zh-CN"/>
        </w:rPr>
        <w:t>证券</w:t>
      </w:r>
      <w:r>
        <w:rPr>
          <w:b/>
          <w:spacing w:val="-19"/>
        </w:rPr>
        <w:t>分拆合并产生碎股的风险】：</w:t>
      </w:r>
      <w:r>
        <w:rPr>
          <w:rFonts w:hint="eastAsia"/>
          <w:spacing w:val="0"/>
        </w:rPr>
        <w:t>港股通股票、港股通有并行买卖的ETF实施股份分拆合并期间</w:t>
      </w:r>
      <w:r>
        <w:rPr>
          <w:spacing w:val="0"/>
        </w:rPr>
        <w:t>，您持有的该</w:t>
      </w:r>
      <w:r>
        <w:rPr>
          <w:rFonts w:hint="eastAsia"/>
          <w:spacing w:val="0"/>
          <w:lang w:eastAsia="zh-CN"/>
        </w:rPr>
        <w:t>证券</w:t>
      </w:r>
      <w:r>
        <w:rPr>
          <w:spacing w:val="0"/>
        </w:rPr>
        <w:t>只在临时代码单柜交易末日、临时代码与新代码并行交易末日由临时代码转换为新代码。</w:t>
      </w:r>
      <w:r>
        <w:rPr>
          <w:spacing w:val="0"/>
          <w:u w:val="single"/>
        </w:rPr>
        <w:t>由于</w:t>
      </w:r>
      <w:r>
        <w:rPr>
          <w:rFonts w:hint="default"/>
          <w:spacing w:val="0"/>
          <w:u w:val="single"/>
        </w:rPr>
        <w:t>临时代码与原代码交易单位不同而可能产生碎股</w:t>
      </w:r>
      <w:r>
        <w:rPr>
          <w:spacing w:val="0"/>
          <w:u w:val="single"/>
        </w:rPr>
        <w:t>，您应当关注可能产生的风险。</w:t>
      </w:r>
    </w:p>
    <w:p>
      <w:pPr>
        <w:pStyle w:val="4"/>
        <w:spacing w:before="1" w:line="319" w:lineRule="auto"/>
        <w:ind w:right="445"/>
        <w:rPr>
          <w:spacing w:val="0"/>
        </w:rPr>
      </w:pPr>
      <w:r>
        <w:rPr>
          <w:rFonts w:hint="eastAsia"/>
          <w:b/>
          <w:spacing w:val="-18"/>
          <w:lang w:val="en-US" w:eastAsia="zh-CN"/>
        </w:rPr>
        <w:t>二十一</w:t>
      </w:r>
      <w:r>
        <w:rPr>
          <w:b/>
          <w:spacing w:val="-18"/>
        </w:rPr>
        <w:t>、【并行交易期间不可交易临时代码的风险】：</w:t>
      </w:r>
      <w:r>
        <w:rPr>
          <w:rFonts w:hint="eastAsia"/>
          <w:spacing w:val="0"/>
        </w:rPr>
        <w:t>港股通股票、港股通有并行买卖的ETF变更交易单位时，在实施原代码和临时代码并行交易期间，根据有关港股通标的证券在境内的登记结算安排，港股通业务仅提供原代码的交易服务，暂不提供临时代码交易服务。由于临时代码与原代码交易单位不同而可能产生碎股</w:t>
      </w:r>
      <w:r>
        <w:rPr>
          <w:spacing w:val="0"/>
        </w:rPr>
        <w:t>，</w:t>
      </w:r>
      <w:r>
        <w:rPr>
          <w:rFonts w:hint="eastAsia"/>
          <w:spacing w:val="0"/>
          <w:lang w:val="en-US" w:eastAsia="zh-CN"/>
        </w:rPr>
        <w:t>您</w:t>
      </w:r>
      <w:r>
        <w:rPr>
          <w:spacing w:val="0"/>
        </w:rPr>
        <w:t>应关注可能产生的风险。</w:t>
      </w:r>
    </w:p>
    <w:p>
      <w:pPr>
        <w:pStyle w:val="4"/>
        <w:keepNext w:val="0"/>
        <w:keepLines w:val="0"/>
        <w:widowControl/>
        <w:suppressLineNumbers w:val="0"/>
        <w:spacing w:before="1" w:beforeAutospacing="0" w:after="75" w:afterAutospacing="0" w:line="319" w:lineRule="auto"/>
        <w:ind w:left="0" w:right="445" w:firstLine="361"/>
        <w:rPr>
          <w:rFonts w:hint="eastAsia" w:ascii="仿宋" w:hAnsi="仿宋" w:eastAsia="仿宋" w:cs="仿宋"/>
          <w:b w:val="0"/>
          <w:bCs/>
          <w:spacing w:val="-18"/>
          <w:sz w:val="21"/>
          <w:szCs w:val="21"/>
          <w:lang w:val="en-US" w:eastAsia="zh-CN"/>
        </w:rPr>
      </w:pPr>
      <w:r>
        <w:rPr>
          <w:rFonts w:hint="eastAsia" w:ascii="仿宋" w:hAnsi="仿宋" w:eastAsia="仿宋" w:cs="仿宋"/>
          <w:b/>
          <w:bCs w:val="0"/>
          <w:color w:val="484848"/>
          <w:spacing w:val="-18"/>
          <w:sz w:val="21"/>
          <w:szCs w:val="21"/>
          <w:lang w:val="en-US"/>
        </w:rPr>
        <w:t>二十二、【</w:t>
      </w:r>
      <w:r>
        <w:rPr>
          <w:rFonts w:hint="eastAsia" w:cs="仿宋"/>
          <w:b/>
          <w:bCs w:val="0"/>
          <w:color w:val="484848"/>
          <w:spacing w:val="-18"/>
          <w:sz w:val="21"/>
          <w:szCs w:val="21"/>
          <w:lang w:val="en-US" w:eastAsia="zh-CN"/>
        </w:rPr>
        <w:t>深</w:t>
      </w:r>
      <w:r>
        <w:rPr>
          <w:rFonts w:hint="eastAsia" w:ascii="仿宋" w:hAnsi="仿宋" w:eastAsia="仿宋" w:cs="仿宋"/>
          <w:b/>
          <w:bCs w:val="0"/>
          <w:color w:val="484848"/>
          <w:spacing w:val="-18"/>
          <w:sz w:val="21"/>
          <w:szCs w:val="21"/>
          <w:lang w:val="en-US"/>
        </w:rPr>
        <w:t>港通交易日历优化正式实施后相关风险】</w:t>
      </w:r>
      <w:r>
        <w:rPr>
          <w:rFonts w:hint="eastAsia" w:ascii="仿宋" w:hAnsi="仿宋" w:eastAsia="仿宋" w:cs="仿宋"/>
          <w:b/>
          <w:bCs w:val="0"/>
          <w:color w:val="484848"/>
          <w:spacing w:val="-18"/>
          <w:sz w:val="21"/>
          <w:szCs w:val="21"/>
          <w:lang w:val="en-US" w:eastAsia="zh-CN"/>
        </w:rPr>
        <w:t>：</w:t>
      </w:r>
      <w:r>
        <w:rPr>
          <w:rFonts w:hint="eastAsia" w:ascii="仿宋" w:hAnsi="仿宋" w:eastAsia="仿宋" w:cs="仿宋"/>
          <w:b w:val="0"/>
          <w:bCs/>
          <w:color w:val="484848"/>
          <w:spacing w:val="-18"/>
          <w:sz w:val="21"/>
          <w:szCs w:val="21"/>
          <w:lang w:val="en-US" w:eastAsia="zh-CN"/>
        </w:rPr>
        <w:t>深港通交易日历优化正式实施后，在港股通股票、港股通ETF分拆合并业务中，有并行买卖的首个代码转换日(即原代码最后交易日对应的港股交收日)或者无并行买卖的转换日(转换生效日前一港股交易日)为非对称节假日(内地节假日且为香港地区非节假日)或者非对称节假日后第一个港股通交易日的，在前述非对称节假日前的新增港股通交易日暂停接受该股票或者ETF的港股通交易申报；上述业务在非对称节假日期间，港股通股票、港股通ETF取消分拆合并的，非对称节假日后第一个港股通交易日继续暂停接受该股票或者ETF的港股通交易申报。</w:t>
      </w:r>
    </w:p>
    <w:p>
      <w:pPr>
        <w:pStyle w:val="4"/>
        <w:keepNext w:val="0"/>
        <w:keepLines w:val="0"/>
        <w:widowControl/>
        <w:suppressLineNumbers w:val="0"/>
        <w:spacing w:before="1" w:beforeAutospacing="0" w:after="75" w:afterAutospacing="0" w:line="319" w:lineRule="auto"/>
        <w:ind w:left="0" w:right="445" w:firstLine="361"/>
        <w:rPr>
          <w:rFonts w:hint="eastAsia" w:ascii="仿宋" w:hAnsi="仿宋" w:eastAsia="仿宋" w:cs="仿宋"/>
          <w:b w:val="0"/>
          <w:bCs/>
          <w:color w:val="484848"/>
          <w:spacing w:val="-18"/>
          <w:sz w:val="21"/>
          <w:szCs w:val="21"/>
          <w:lang w:val="en-US" w:eastAsia="zh-CN"/>
        </w:rPr>
      </w:pPr>
      <w:r>
        <w:rPr>
          <w:rFonts w:hint="eastAsia" w:ascii="仿宋" w:hAnsi="仿宋" w:eastAsia="仿宋" w:cs="仿宋"/>
          <w:b w:val="0"/>
          <w:bCs/>
          <w:color w:val="484848"/>
          <w:spacing w:val="-18"/>
          <w:sz w:val="21"/>
          <w:szCs w:val="21"/>
          <w:lang w:val="en-US" w:eastAsia="zh-CN"/>
        </w:rPr>
        <w:t>深港通交易日历优化正式实施后，港股通股票、港股通ETF的香港市场股权登记日为非对称节假日(内地节假日且为香港地区非节假日)期间第一个港股交易日的，境内股权登记日为非对称节假日后第一个港股通交收日；香港市场股权登记日在非对称节假日期间第二个港股交易日至非对称节假日后第一个港股通交易日(含)之间的，境内股权登记日为非对称节假日后第二个港股通交收日。</w:t>
      </w:r>
    </w:p>
    <w:p>
      <w:pPr>
        <w:pStyle w:val="4"/>
        <w:spacing w:before="1" w:line="319" w:lineRule="auto"/>
        <w:ind w:right="445"/>
        <w:rPr>
          <w:rFonts w:hint="eastAsia"/>
          <w:b w:val="0"/>
          <w:bCs/>
          <w:spacing w:val="-18"/>
          <w:lang w:val="en-US"/>
        </w:rPr>
      </w:pPr>
      <w:r>
        <w:rPr>
          <w:rFonts w:hint="eastAsia" w:ascii="仿宋" w:hAnsi="仿宋" w:eastAsia="仿宋" w:cs="仿宋"/>
          <w:b w:val="0"/>
          <w:bCs/>
          <w:color w:val="auto"/>
          <w:spacing w:val="-18"/>
          <w:sz w:val="21"/>
          <w:szCs w:val="21"/>
          <w:lang w:val="en-US" w:eastAsia="zh-CN"/>
        </w:rPr>
        <w:t>对于在联交所上市公司的供股业务，中国结算将在境内申报截止日日终确定投资者账户供股权的有效申报数量，并记减有效申报的供股权。</w:t>
      </w:r>
    </w:p>
    <w:p>
      <w:pPr>
        <w:spacing w:before="4" w:line="319" w:lineRule="auto"/>
        <w:ind w:left="253" w:right="442" w:firstLine="422"/>
        <w:jc w:val="left"/>
        <w:rPr>
          <w:sz w:val="21"/>
        </w:rPr>
      </w:pPr>
      <w:r>
        <w:rPr>
          <w:rFonts w:hint="eastAsia"/>
          <w:b/>
          <w:spacing w:val="-16"/>
          <w:sz w:val="21"/>
          <w:lang w:val="en-US" w:eastAsia="zh-CN"/>
        </w:rPr>
        <w:t>二十三</w:t>
      </w:r>
      <w:r>
        <w:rPr>
          <w:b/>
          <w:spacing w:val="-16"/>
          <w:sz w:val="21"/>
        </w:rPr>
        <w:t>、【成交</w:t>
      </w:r>
      <w:r>
        <w:rPr>
          <w:rFonts w:hint="eastAsia"/>
          <w:b/>
          <w:spacing w:val="-16"/>
          <w:sz w:val="21"/>
          <w:lang w:eastAsia="zh-CN"/>
        </w:rPr>
        <w:t>证券</w:t>
      </w:r>
      <w:r>
        <w:rPr>
          <w:b/>
          <w:spacing w:val="-16"/>
          <w:sz w:val="21"/>
        </w:rPr>
        <w:t>回转交易的风险】：</w:t>
      </w:r>
      <w:r>
        <w:rPr>
          <w:spacing w:val="0"/>
          <w:sz w:val="21"/>
          <w:szCs w:val="21"/>
        </w:rPr>
        <w:t>您当日买入的港股通</w:t>
      </w:r>
      <w:r>
        <w:rPr>
          <w:rFonts w:hint="eastAsia"/>
          <w:spacing w:val="0"/>
          <w:sz w:val="21"/>
          <w:szCs w:val="21"/>
          <w:lang w:eastAsia="zh-CN"/>
        </w:rPr>
        <w:t>证券</w:t>
      </w:r>
      <w:r>
        <w:rPr>
          <w:spacing w:val="0"/>
          <w:sz w:val="21"/>
          <w:szCs w:val="21"/>
        </w:rPr>
        <w:t>，经确认成交后，在交收前即可卖出，您应当关注因此可能产生的风险。</w:t>
      </w:r>
    </w:p>
    <w:p>
      <w:pPr>
        <w:spacing w:before="2" w:line="319" w:lineRule="auto"/>
        <w:ind w:left="253" w:right="546" w:firstLine="422"/>
        <w:jc w:val="both"/>
        <w:rPr>
          <w:spacing w:val="0"/>
          <w:sz w:val="21"/>
          <w:szCs w:val="21"/>
        </w:rPr>
      </w:pPr>
      <w:r>
        <w:rPr>
          <w:b/>
          <w:spacing w:val="-17"/>
          <w:sz w:val="21"/>
        </w:rPr>
        <w:t>二十</w:t>
      </w:r>
      <w:r>
        <w:rPr>
          <w:rFonts w:hint="eastAsia"/>
          <w:b/>
          <w:spacing w:val="-17"/>
          <w:sz w:val="21"/>
          <w:lang w:val="en-US" w:eastAsia="zh-CN"/>
        </w:rPr>
        <w:t>四</w:t>
      </w:r>
      <w:r>
        <w:rPr>
          <w:b/>
          <w:spacing w:val="-17"/>
          <w:sz w:val="21"/>
        </w:rPr>
        <w:t>、【最小交易价差、每手股数、申报最大限制的风险】：</w:t>
      </w:r>
      <w:r>
        <w:rPr>
          <w:spacing w:val="0"/>
          <w:sz w:val="21"/>
          <w:szCs w:val="21"/>
        </w:rPr>
        <w:t>与内地证券市场相比，联交所在订单申报的最小交易价差、每手股数、申报最大限制等方面存在一定的差异，并且没有统一的规定，您应当关注因此可能产生的风险。</w:t>
      </w:r>
    </w:p>
    <w:p>
      <w:pPr>
        <w:spacing w:before="2" w:line="319" w:lineRule="auto"/>
        <w:ind w:left="253" w:right="546" w:firstLine="422"/>
        <w:jc w:val="both"/>
      </w:pPr>
      <w:r>
        <w:rPr>
          <w:b/>
          <w:spacing w:val="-18"/>
          <w:sz w:val="21"/>
        </w:rPr>
        <w:t>二十</w:t>
      </w:r>
      <w:r>
        <w:rPr>
          <w:rFonts w:hint="eastAsia"/>
          <w:b/>
          <w:spacing w:val="-18"/>
          <w:sz w:val="21"/>
          <w:lang w:val="en-US" w:eastAsia="zh-CN"/>
        </w:rPr>
        <w:t>五</w:t>
      </w:r>
      <w:r>
        <w:rPr>
          <w:b/>
          <w:spacing w:val="-18"/>
          <w:sz w:val="21"/>
        </w:rPr>
        <w:t>、【市场波动调节机制产生的价格限制风险】：</w:t>
      </w:r>
      <w:r>
        <w:rPr>
          <w:spacing w:val="0"/>
          <w:sz w:val="21"/>
          <w:szCs w:val="21"/>
        </w:rPr>
        <w:t>港股通</w:t>
      </w:r>
      <w:r>
        <w:rPr>
          <w:rFonts w:hint="eastAsia"/>
          <w:spacing w:val="0"/>
          <w:sz w:val="21"/>
          <w:szCs w:val="21"/>
          <w:lang w:eastAsia="zh-CN"/>
        </w:rPr>
        <w:t>证券</w:t>
      </w:r>
      <w:r>
        <w:rPr>
          <w:spacing w:val="0"/>
          <w:sz w:val="21"/>
          <w:szCs w:val="21"/>
        </w:rPr>
        <w:t>交易不设置涨跌幅限制，但根据联交所业务规则，适用市场波动调节机制的港股通</w:t>
      </w:r>
      <w:r>
        <w:rPr>
          <w:rFonts w:hint="eastAsia"/>
          <w:spacing w:val="0"/>
          <w:sz w:val="21"/>
          <w:szCs w:val="21"/>
          <w:lang w:eastAsia="zh-CN"/>
        </w:rPr>
        <w:t>证券</w:t>
      </w:r>
      <w:r>
        <w:rPr>
          <w:spacing w:val="0"/>
          <w:sz w:val="21"/>
          <w:szCs w:val="21"/>
        </w:rPr>
        <w:t>的买卖申报可能受到价格限制，您应当关注因此可能产</w:t>
      </w:r>
      <w:r>
        <w:rPr>
          <w:sz w:val="21"/>
          <w:szCs w:val="21"/>
        </w:rPr>
        <w:t>生的风险。</w:t>
      </w:r>
    </w:p>
    <w:p>
      <w:pPr>
        <w:spacing w:before="91" w:line="319" w:lineRule="auto"/>
        <w:ind w:left="253" w:right="546" w:firstLine="422"/>
        <w:jc w:val="left"/>
        <w:rPr>
          <w:sz w:val="21"/>
        </w:rPr>
      </w:pPr>
      <w:r>
        <w:rPr>
          <w:b/>
          <w:spacing w:val="-17"/>
          <w:sz w:val="21"/>
        </w:rPr>
        <w:t>二十</w:t>
      </w:r>
      <w:r>
        <w:rPr>
          <w:rFonts w:hint="eastAsia"/>
          <w:b/>
          <w:spacing w:val="-17"/>
          <w:sz w:val="21"/>
          <w:lang w:val="en-US" w:eastAsia="zh-CN"/>
        </w:rPr>
        <w:t>六</w:t>
      </w:r>
      <w:r>
        <w:rPr>
          <w:b/>
          <w:spacing w:val="-17"/>
          <w:sz w:val="21"/>
        </w:rPr>
        <w:t>、【收市竞价交易产生的价格限制风险】：</w:t>
      </w:r>
      <w:r>
        <w:rPr>
          <w:spacing w:val="0"/>
          <w:sz w:val="21"/>
          <w:szCs w:val="21"/>
        </w:rPr>
        <w:t>对于适用于收市竞价交易的港股通</w:t>
      </w:r>
      <w:r>
        <w:rPr>
          <w:rFonts w:hint="eastAsia"/>
          <w:spacing w:val="0"/>
          <w:sz w:val="21"/>
          <w:szCs w:val="21"/>
          <w:lang w:eastAsia="zh-CN"/>
        </w:rPr>
        <w:t>证券</w:t>
      </w:r>
      <w:r>
        <w:rPr>
          <w:spacing w:val="0"/>
          <w:sz w:val="21"/>
          <w:szCs w:val="21"/>
        </w:rPr>
        <w:t>，根据联交所交易规则，收市竞价交易时段的买卖申报将受到价格限制，您应当关注由此可能产生的风险。</w:t>
      </w:r>
    </w:p>
    <w:p>
      <w:pPr>
        <w:spacing w:before="2" w:line="319" w:lineRule="auto"/>
        <w:ind w:left="253" w:right="547" w:firstLine="422"/>
        <w:jc w:val="left"/>
        <w:rPr>
          <w:sz w:val="21"/>
        </w:rPr>
      </w:pPr>
      <w:r>
        <w:rPr>
          <w:b/>
          <w:spacing w:val="-11"/>
          <w:sz w:val="21"/>
        </w:rPr>
        <w:t>二十</w:t>
      </w:r>
      <w:r>
        <w:rPr>
          <w:rFonts w:hint="eastAsia"/>
          <w:b/>
          <w:spacing w:val="-11"/>
          <w:sz w:val="21"/>
          <w:lang w:val="en-US" w:eastAsia="zh-CN"/>
        </w:rPr>
        <w:t>七</w:t>
      </w:r>
      <w:r>
        <w:rPr>
          <w:b/>
          <w:spacing w:val="-11"/>
          <w:sz w:val="21"/>
        </w:rPr>
        <w:t>、【开市前时段产生的价格限制风险】</w:t>
      </w:r>
      <w:r>
        <w:rPr>
          <w:spacing w:val="0"/>
          <w:sz w:val="21"/>
          <w:szCs w:val="21"/>
        </w:rPr>
        <w:t>对于适用开市前时段的港股通</w:t>
      </w:r>
      <w:r>
        <w:rPr>
          <w:rFonts w:hint="eastAsia"/>
          <w:spacing w:val="0"/>
          <w:sz w:val="21"/>
          <w:szCs w:val="21"/>
          <w:lang w:eastAsia="zh-CN"/>
        </w:rPr>
        <w:t>证券</w:t>
      </w:r>
      <w:r>
        <w:rPr>
          <w:spacing w:val="0"/>
          <w:sz w:val="21"/>
          <w:szCs w:val="21"/>
        </w:rPr>
        <w:t>，根据联交所业务规则，开市前时段的买卖申报将受到价格限制，您应当关注因此可能产生的风险。</w:t>
      </w:r>
    </w:p>
    <w:p>
      <w:pPr>
        <w:pStyle w:val="4"/>
        <w:spacing w:line="319" w:lineRule="auto"/>
      </w:pPr>
      <w:r>
        <w:rPr>
          <w:b/>
          <w:spacing w:val="-19"/>
        </w:rPr>
        <w:t>二十</w:t>
      </w:r>
      <w:r>
        <w:rPr>
          <w:rFonts w:hint="eastAsia"/>
          <w:b/>
          <w:spacing w:val="-19"/>
          <w:lang w:val="en-US" w:eastAsia="zh-CN"/>
        </w:rPr>
        <w:t>八</w:t>
      </w:r>
      <w:r>
        <w:rPr>
          <w:b/>
          <w:spacing w:val="-19"/>
        </w:rPr>
        <w:t>、【免费一档行情的风险】：</w:t>
      </w:r>
      <w:r>
        <w:rPr>
          <w:spacing w:val="0"/>
        </w:rPr>
        <w:t>您通过港股通业务获得的香港证券市场免费一档行情，与付费方式获得的行情相比，在刷新频率、档位显示等方面存在差异，您应当关注依此进行投资决策的风险。</w:t>
      </w:r>
    </w:p>
    <w:p>
      <w:pPr>
        <w:pStyle w:val="4"/>
        <w:spacing w:before="0" w:line="319" w:lineRule="auto"/>
        <w:ind w:right="0"/>
        <w:jc w:val="both"/>
        <w:rPr>
          <w:u w:val="single"/>
        </w:rPr>
      </w:pPr>
      <w:r>
        <w:rPr>
          <w:b/>
          <w:spacing w:val="-17"/>
        </w:rPr>
        <w:t>二十</w:t>
      </w:r>
      <w:r>
        <w:rPr>
          <w:rFonts w:hint="eastAsia"/>
          <w:b/>
          <w:spacing w:val="-17"/>
          <w:lang w:val="en-US" w:eastAsia="zh-CN"/>
        </w:rPr>
        <w:t>九</w:t>
      </w:r>
      <w:r>
        <w:rPr>
          <w:b/>
          <w:spacing w:val="-17"/>
        </w:rPr>
        <w:t>、【报价显示颜色含义不同的风险】：</w:t>
      </w:r>
      <w:r>
        <w:rPr>
          <w:spacing w:val="0"/>
          <w:u w:val="single"/>
        </w:rPr>
        <w:t>在香港证券市场，</w:t>
      </w:r>
      <w:r>
        <w:rPr>
          <w:rFonts w:hint="eastAsia"/>
          <w:spacing w:val="0"/>
          <w:u w:val="single"/>
          <w:lang w:eastAsia="zh-CN"/>
        </w:rPr>
        <w:t>证券</w:t>
      </w:r>
      <w:r>
        <w:rPr>
          <w:spacing w:val="0"/>
          <w:u w:val="single"/>
        </w:rPr>
        <w:t>价格上涨时，</w:t>
      </w:r>
      <w:r>
        <w:rPr>
          <w:rFonts w:hint="eastAsia"/>
          <w:spacing w:val="0"/>
          <w:u w:val="single"/>
          <w:lang w:eastAsia="zh-CN"/>
        </w:rPr>
        <w:t>证券</w:t>
      </w:r>
      <w:r>
        <w:rPr>
          <w:rFonts w:hint="default"/>
          <w:spacing w:val="0"/>
          <w:u w:val="single"/>
        </w:rPr>
        <w:t>报价屏幕上显示的颜色为绿色</w:t>
      </w:r>
      <w:r>
        <w:rPr>
          <w:spacing w:val="0"/>
          <w:u w:val="single"/>
        </w:rPr>
        <w:t>，下跌时则为红色，与内地证券市场存在差异。但是，不同的行情软件商提供的行情走势颜色可以重新设定，您在使用行情软件的时候，应当仔细检查软件的参数设置，避免惯性思维带来的风险。</w:t>
      </w:r>
    </w:p>
    <w:p>
      <w:pPr>
        <w:pStyle w:val="4"/>
        <w:spacing w:before="0" w:line="319" w:lineRule="auto"/>
        <w:ind w:right="0" w:firstLine="420" w:firstLineChars="200"/>
        <w:jc w:val="both"/>
        <w:rPr>
          <w:u w:val="single"/>
        </w:rPr>
      </w:pPr>
      <w:r>
        <w:rPr>
          <w:spacing w:val="0"/>
          <w:u w:val="single"/>
        </w:rPr>
        <w:t>为适应</w:t>
      </w:r>
      <w:r>
        <w:rPr>
          <w:u w:val="single"/>
        </w:rPr>
        <w:t>A</w:t>
      </w:r>
      <w:r>
        <w:rPr>
          <w:spacing w:val="0"/>
          <w:u w:val="single"/>
        </w:rPr>
        <w:t>股客户的交易习惯，我司行情软件的行情走势颜色已做如下设置：</w:t>
      </w:r>
      <w:r>
        <w:rPr>
          <w:rFonts w:hint="eastAsia"/>
          <w:spacing w:val="0"/>
          <w:u w:val="single"/>
          <w:lang w:eastAsia="zh-CN"/>
        </w:rPr>
        <w:t>证券</w:t>
      </w:r>
      <w:r>
        <w:rPr>
          <w:spacing w:val="0"/>
          <w:u w:val="single"/>
        </w:rPr>
        <w:t>上涨时显示红色，</w:t>
      </w:r>
      <w:r>
        <w:rPr>
          <w:rFonts w:hint="eastAsia"/>
          <w:spacing w:val="0"/>
          <w:u w:val="single"/>
          <w:lang w:eastAsia="zh-CN"/>
        </w:rPr>
        <w:t>证券</w:t>
      </w:r>
      <w:r>
        <w:rPr>
          <w:rFonts w:hint="default"/>
          <w:spacing w:val="0"/>
          <w:u w:val="single"/>
        </w:rPr>
        <w:t>下跌时显示绿色</w:t>
      </w:r>
      <w:r>
        <w:rPr>
          <w:spacing w:val="0"/>
          <w:u w:val="single"/>
        </w:rPr>
        <w:t>。</w:t>
      </w:r>
    </w:p>
    <w:p>
      <w:pPr>
        <w:pStyle w:val="4"/>
        <w:spacing w:before="0" w:line="319" w:lineRule="auto"/>
        <w:ind w:right="337"/>
      </w:pPr>
      <w:r>
        <w:rPr>
          <w:rFonts w:hint="eastAsia"/>
          <w:b/>
          <w:spacing w:val="-17"/>
          <w:lang w:val="en-US" w:eastAsia="zh-CN"/>
        </w:rPr>
        <w:t>三十</w:t>
      </w:r>
      <w:r>
        <w:rPr>
          <w:b/>
          <w:spacing w:val="-17"/>
        </w:rPr>
        <w:t>、【权益证券存在交易限制的风险】：</w:t>
      </w:r>
      <w:r>
        <w:rPr>
          <w:spacing w:val="0"/>
          <w:u w:val="single"/>
        </w:rPr>
        <w:t>您因港股通</w:t>
      </w:r>
      <w:r>
        <w:rPr>
          <w:rFonts w:hint="eastAsia"/>
          <w:spacing w:val="0"/>
          <w:u w:val="single"/>
          <w:lang w:eastAsia="zh-CN"/>
        </w:rPr>
        <w:t>证券</w:t>
      </w:r>
      <w:r>
        <w:rPr>
          <w:spacing w:val="0"/>
          <w:u w:val="single"/>
        </w:rPr>
        <w:t>权益分派、转换、</w:t>
      </w:r>
      <w:r>
        <w:rPr>
          <w:rFonts w:hint="default"/>
          <w:spacing w:val="0"/>
          <w:u w:val="single"/>
        </w:rPr>
        <w:t>上市公司被收购等情形或者异常情况</w:t>
      </w:r>
      <w:r>
        <w:rPr>
          <w:spacing w:val="0"/>
          <w:u w:val="single"/>
        </w:rPr>
        <w:t>，所取得的港股通</w:t>
      </w:r>
      <w:r>
        <w:rPr>
          <w:rFonts w:hint="eastAsia"/>
          <w:spacing w:val="0"/>
          <w:u w:val="single"/>
          <w:lang w:eastAsia="zh-CN"/>
        </w:rPr>
        <w:t>证券</w:t>
      </w:r>
      <w:r>
        <w:rPr>
          <w:spacing w:val="0"/>
          <w:u w:val="single"/>
        </w:rPr>
        <w:t>以外的联交所上市证券，只能通过港股通卖出，不得买入，深交所另有规定的除外；因港股通</w:t>
      </w:r>
      <w:r>
        <w:rPr>
          <w:rFonts w:hint="eastAsia"/>
          <w:spacing w:val="0"/>
          <w:u w:val="single"/>
          <w:lang w:eastAsia="zh-CN"/>
        </w:rPr>
        <w:t>证券</w:t>
      </w:r>
      <w:r>
        <w:rPr>
          <w:spacing w:val="0"/>
          <w:u w:val="single"/>
        </w:rPr>
        <w:t>权益分派或者转换等情形取得的联交所上市</w:t>
      </w:r>
      <w:r>
        <w:rPr>
          <w:rFonts w:hint="eastAsia"/>
          <w:spacing w:val="0"/>
          <w:u w:val="single"/>
          <w:lang w:eastAsia="zh-CN"/>
        </w:rPr>
        <w:t>证券</w:t>
      </w:r>
      <w:r>
        <w:rPr>
          <w:spacing w:val="0"/>
          <w:u w:val="single"/>
        </w:rPr>
        <w:t>的认购权利在联交所上市的，可以通过港股通卖出，但不得买入，也不得行权；因港股通</w:t>
      </w:r>
      <w:r>
        <w:rPr>
          <w:rFonts w:hint="eastAsia"/>
          <w:spacing w:val="0"/>
          <w:u w:val="single"/>
          <w:lang w:eastAsia="zh-CN"/>
        </w:rPr>
        <w:t>证券</w:t>
      </w:r>
      <w:r>
        <w:rPr>
          <w:spacing w:val="0"/>
          <w:u w:val="single"/>
        </w:rPr>
        <w:t>权益分派、转换或者上市公司被收购等所取得的非联交所上市证券，可以享有相关权益，但不得通过港股通买入或</w:t>
      </w:r>
      <w:r>
        <w:rPr>
          <w:rFonts w:hint="eastAsia"/>
          <w:spacing w:val="0"/>
          <w:u w:val="single"/>
          <w:lang w:val="en-US" w:eastAsia="zh-CN"/>
        </w:rPr>
        <w:t>者</w:t>
      </w:r>
      <w:r>
        <w:rPr>
          <w:spacing w:val="0"/>
          <w:u w:val="single"/>
        </w:rPr>
        <w:t>卖出</w:t>
      </w:r>
      <w:r>
        <w:rPr>
          <w:u w:val="single"/>
        </w:rPr>
        <w:t>。</w:t>
      </w:r>
    </w:p>
    <w:p>
      <w:pPr>
        <w:pStyle w:val="4"/>
        <w:spacing w:before="3" w:line="319" w:lineRule="auto"/>
        <w:jc w:val="both"/>
      </w:pPr>
      <w:r>
        <w:rPr>
          <w:rFonts w:hint="eastAsia"/>
          <w:b/>
          <w:spacing w:val="-20"/>
          <w:lang w:val="en-US" w:eastAsia="zh-CN"/>
        </w:rPr>
        <w:t>三十一</w:t>
      </w:r>
      <w:r>
        <w:rPr>
          <w:b/>
          <w:spacing w:val="-20"/>
        </w:rPr>
        <w:t>、【证券交收期差异的风险】：</w:t>
      </w:r>
      <w:r>
        <w:rPr>
          <w:spacing w:val="0"/>
        </w:rPr>
        <w:t>香港证券市场与内地证券市场在证券资金的交收期安排上存在差异，港股通交易的交收期为</w:t>
      </w:r>
      <w:r>
        <w:t>T+2</w:t>
      </w:r>
      <w:r>
        <w:rPr>
          <w:spacing w:val="0"/>
        </w:rPr>
        <w:t>日</w:t>
      </w:r>
      <w:r>
        <w:rPr>
          <w:rFonts w:hint="eastAsia"/>
          <w:spacing w:val="0"/>
        </w:rPr>
        <w:t>(只有深港两地均为交收日的日期才为港股通交收日)</w:t>
      </w:r>
      <w:r>
        <w:rPr>
          <w:spacing w:val="0"/>
        </w:rPr>
        <w:t>。若您卖出证券，在交收完成前仍享有该证券的权益。若投资者买入证券，在交收完成后才享有该证券的权益。</w:t>
      </w:r>
    </w:p>
    <w:p>
      <w:pPr>
        <w:pStyle w:val="4"/>
        <w:ind w:left="673" w:right="0" w:firstLine="0"/>
      </w:pPr>
      <w:r>
        <w:t>同时，港股通交易的交收可能因香港出现台风或黑色暴雨等发生延迟交收。</w:t>
      </w:r>
    </w:p>
    <w:p>
      <w:pPr>
        <w:spacing w:before="90" w:line="319" w:lineRule="auto"/>
        <w:ind w:left="253" w:right="546" w:firstLine="420"/>
        <w:jc w:val="left"/>
        <w:rPr>
          <w:sz w:val="21"/>
          <w:szCs w:val="21"/>
        </w:rPr>
      </w:pPr>
      <w:r>
        <w:rPr>
          <w:rFonts w:hint="eastAsia"/>
          <w:b/>
          <w:bCs/>
          <w:spacing w:val="-3"/>
          <w:sz w:val="21"/>
          <w:lang w:val="en-US" w:eastAsia="zh-CN"/>
        </w:rPr>
        <w:t>三十二</w:t>
      </w:r>
      <w:r>
        <w:rPr>
          <w:b/>
          <w:spacing w:val="-17"/>
          <w:sz w:val="21"/>
        </w:rPr>
        <w:t>、【获得相关公司行为服务受限的风险】：</w:t>
      </w:r>
      <w:r>
        <w:rPr>
          <w:spacing w:val="0"/>
          <w:sz w:val="21"/>
          <w:szCs w:val="21"/>
          <w:u w:val="single"/>
        </w:rPr>
        <w:t>您通过港股通业务暂不能参与新股发行认购、</w:t>
      </w:r>
      <w:r>
        <w:rPr>
          <w:rFonts w:hint="default"/>
          <w:spacing w:val="0"/>
          <w:sz w:val="21"/>
          <w:szCs w:val="21"/>
          <w:u w:val="single"/>
        </w:rPr>
        <w:t>超额供股或超额公开配售，以及ETF发行认购和申购赎回</w:t>
      </w:r>
      <w:r>
        <w:rPr>
          <w:spacing w:val="0"/>
          <w:sz w:val="21"/>
          <w:szCs w:val="21"/>
          <w:u w:val="single"/>
        </w:rPr>
        <w:t>。</w:t>
      </w:r>
      <w:r>
        <w:rPr>
          <w:spacing w:val="0"/>
          <w:sz w:val="21"/>
          <w:szCs w:val="21"/>
        </w:rPr>
        <w:t>您参与供股和公开配售业务，将按照有关法规、规章或规范性文件的规定执行。</w:t>
      </w:r>
    </w:p>
    <w:p>
      <w:pPr>
        <w:pStyle w:val="4"/>
        <w:spacing w:before="3" w:line="319" w:lineRule="auto"/>
        <w:ind w:right="337" w:firstLine="420"/>
      </w:pPr>
      <w:r>
        <w:rPr>
          <w:spacing w:val="0"/>
        </w:rPr>
        <w:t>供股指联交所上市公司向现有股票持有人作出供股要约，使其可以按持有股票的比例认购该公司股票，且认购权利凭证可以通过二级市场进行转让。</w:t>
      </w:r>
    </w:p>
    <w:p>
      <w:pPr>
        <w:pStyle w:val="4"/>
        <w:spacing w:line="319" w:lineRule="auto"/>
        <w:ind w:firstLine="420"/>
      </w:pPr>
      <w:r>
        <w:rPr>
          <w:spacing w:val="0"/>
        </w:rPr>
        <w:t>公开配售指联交所上市公司向现有股票持有人作出要约，使其可以认购该公司股票，但公开配售权益不能转让。</w:t>
      </w:r>
    </w:p>
    <w:p>
      <w:pPr>
        <w:pStyle w:val="4"/>
        <w:spacing w:line="319" w:lineRule="auto"/>
        <w:jc w:val="both"/>
      </w:pPr>
      <w:r>
        <w:rPr>
          <w:rFonts w:hint="eastAsia"/>
          <w:b/>
          <w:bCs w:val="0"/>
          <w:spacing w:val="-18"/>
          <w:lang w:val="en-US" w:eastAsia="zh-CN"/>
        </w:rPr>
        <w:t>三十三</w:t>
      </w:r>
      <w:r>
        <w:rPr>
          <w:b/>
          <w:spacing w:val="-18"/>
        </w:rPr>
        <w:t>、【现金红利发放延后的风险】：</w:t>
      </w:r>
      <w:r>
        <w:rPr>
          <w:rFonts w:hint="eastAsia"/>
          <w:spacing w:val="0"/>
          <w:u w:val="single"/>
        </w:rPr>
        <w:t>中国结算在收到香港结算派发的联交所上市公司现金红利或者联交所上市ETF收益分配后，需要按规则对外币红利资金进行换汇、清算、代扣代缴税款、发放等业务处理，投资者通过港股通业务获得的现金红利将会较香港市场有所延后。部分港股通股票红利派发可能存在要求投资者申报相关信息的情形，请投资者及时关注上市公司官方公告或者证券公司提示，并通过证券公司进行申报。</w:t>
      </w:r>
    </w:p>
    <w:p>
      <w:pPr>
        <w:pStyle w:val="4"/>
        <w:spacing w:before="1" w:line="319" w:lineRule="auto"/>
        <w:jc w:val="both"/>
      </w:pPr>
      <w:r>
        <w:rPr>
          <w:b/>
          <w:spacing w:val="-19"/>
        </w:rPr>
        <w:t>三十</w:t>
      </w:r>
      <w:r>
        <w:rPr>
          <w:rFonts w:hint="eastAsia"/>
          <w:b/>
          <w:spacing w:val="-19"/>
          <w:lang w:val="en-US" w:eastAsia="zh-CN"/>
        </w:rPr>
        <w:t>四</w:t>
      </w:r>
      <w:r>
        <w:rPr>
          <w:b/>
          <w:spacing w:val="-19"/>
        </w:rPr>
        <w:t>、【红股发放延后的风险】：</w:t>
      </w:r>
      <w:r>
        <w:rPr>
          <w:spacing w:val="0"/>
        </w:rPr>
        <w:t>对于在联交所上市公司派发的红股，中国结算在收到香港结算派发红股到账当日或次日进行业务处理，</w:t>
      </w:r>
      <w:r>
        <w:rPr>
          <w:spacing w:val="0"/>
          <w:u w:val="single"/>
        </w:rPr>
        <w:t>相应红股可于处理日下一港股通交易日上市交易。</w:t>
      </w:r>
      <w:r>
        <w:rPr>
          <w:rFonts w:hint="default"/>
          <w:spacing w:val="0"/>
          <w:u w:val="single"/>
        </w:rPr>
        <w:t>您红股可卖首日均较香港市场晚一个港股通交易日</w:t>
      </w:r>
      <w:r>
        <w:t>。</w:t>
      </w:r>
    </w:p>
    <w:p>
      <w:pPr>
        <w:pStyle w:val="4"/>
        <w:spacing w:before="5" w:line="319" w:lineRule="auto"/>
        <w:ind w:right="545"/>
        <w:jc w:val="both"/>
      </w:pPr>
      <w:r>
        <w:rPr>
          <w:b/>
          <w:spacing w:val="-23"/>
        </w:rPr>
        <w:t>三十</w:t>
      </w:r>
      <w:r>
        <w:rPr>
          <w:rFonts w:hint="eastAsia"/>
          <w:b/>
          <w:spacing w:val="-23"/>
          <w:lang w:val="en-US" w:eastAsia="zh-CN"/>
        </w:rPr>
        <w:t>五</w:t>
      </w:r>
      <w:r>
        <w:rPr>
          <w:b/>
          <w:spacing w:val="-23"/>
        </w:rPr>
        <w:t>、【投票的风险】：</w:t>
      </w:r>
      <w:r>
        <w:rPr>
          <w:spacing w:val="0"/>
        </w:rPr>
        <w:t>由于中国结算是在汇总投资者意愿后再向香港结算提交投票意愿，</w:t>
      </w:r>
      <w:r>
        <w:rPr>
          <w:spacing w:val="0"/>
          <w:u w:val="single"/>
        </w:rPr>
        <w:t>中</w:t>
      </w:r>
      <w:r>
        <w:rPr>
          <w:rFonts w:hint="default"/>
          <w:spacing w:val="0"/>
          <w:u w:val="single"/>
        </w:rPr>
        <w:t>国结算对您设定的意愿征集期比香港结算的征集期稍早结束</w:t>
      </w:r>
      <w:r>
        <w:rPr>
          <w:spacing w:val="0"/>
        </w:rPr>
        <w:t>；投票没有权益登记日的，以投票截止日的持有作为计算基准；投票数量超出持有数量的，按照比例分配持有基数。</w:t>
      </w:r>
    </w:p>
    <w:p>
      <w:pPr>
        <w:pStyle w:val="4"/>
        <w:spacing w:before="1" w:line="319" w:lineRule="auto"/>
        <w:ind w:right="440"/>
      </w:pPr>
      <w:r>
        <w:rPr>
          <w:b/>
        </w:rPr>
        <w:t>三十</w:t>
      </w:r>
      <w:r>
        <w:rPr>
          <w:rFonts w:hint="eastAsia"/>
          <w:b/>
          <w:lang w:val="en-US" w:eastAsia="zh-CN"/>
        </w:rPr>
        <w:t>六</w:t>
      </w:r>
      <w:r>
        <w:rPr>
          <w:b/>
          <w:spacing w:val="-38"/>
        </w:rPr>
        <w:t>、【零碎股的风险】：</w:t>
      </w:r>
      <w:r>
        <w:rPr>
          <w:rFonts w:hint="eastAsia"/>
          <w:spacing w:val="0"/>
        </w:rPr>
        <w:t>对于投资者账户中因联交所上市公司派发红股、供股权、公开配售权以及港股通标的证券分拆、合并业务产生的小于1单位的零碎证券，中国结算进行舍尾处理。当香港结算发放的红股、供股权、公开配售权总数或者分拆、合并证券数额大于投资者账户舍尾取整后的总数的，中国结算按照精确算法分配差额部分。</w:t>
      </w:r>
    </w:p>
    <w:p>
      <w:pPr>
        <w:pStyle w:val="4"/>
        <w:spacing w:before="61"/>
        <w:ind w:right="0" w:firstLine="0"/>
      </w:pPr>
      <w:r>
        <w:rPr>
          <w:rFonts w:hint="eastAsia"/>
          <w:b/>
          <w:sz w:val="21"/>
          <w:lang w:eastAsia="zh-CN"/>
        </w:rPr>
        <w:t>　　</w:t>
      </w:r>
      <w:r>
        <w:rPr>
          <w:b/>
          <w:sz w:val="21"/>
        </w:rPr>
        <w:t>三十</w:t>
      </w:r>
      <w:r>
        <w:rPr>
          <w:rFonts w:hint="eastAsia"/>
          <w:b/>
          <w:sz w:val="21"/>
          <w:lang w:val="en-US" w:eastAsia="zh-CN"/>
        </w:rPr>
        <w:t>七</w:t>
      </w:r>
      <w:r>
        <w:rPr>
          <w:b/>
          <w:sz w:val="21"/>
        </w:rPr>
        <w:t>、【极端情况下无法交付证券的风险】：</w:t>
      </w:r>
      <w:r>
        <w:rPr>
          <w:sz w:val="21"/>
          <w:szCs w:val="21"/>
        </w:rPr>
        <w:t>香港结算因极端情况下无法交付证券对中国结算实施现</w:t>
      </w:r>
      <w:r>
        <w:t>金结算的，中国结算将参照香港结算的处理原则进行相应业务处理。</w:t>
      </w:r>
    </w:p>
    <w:p>
      <w:pPr>
        <w:spacing w:before="91" w:line="319" w:lineRule="auto"/>
        <w:ind w:left="253" w:right="546" w:firstLine="422"/>
        <w:jc w:val="left"/>
        <w:rPr>
          <w:sz w:val="21"/>
        </w:rPr>
      </w:pPr>
      <w:r>
        <w:rPr>
          <w:b/>
          <w:sz w:val="21"/>
        </w:rPr>
        <w:t>三十</w:t>
      </w:r>
      <w:r>
        <w:rPr>
          <w:rFonts w:hint="eastAsia"/>
          <w:b/>
          <w:sz w:val="21"/>
          <w:lang w:val="en-US" w:eastAsia="zh-CN"/>
        </w:rPr>
        <w:t>八</w:t>
      </w:r>
      <w:r>
        <w:rPr>
          <w:b/>
          <w:spacing w:val="-20"/>
          <w:sz w:val="21"/>
        </w:rPr>
        <w:t>、【极端情况下资金无法正常使用的风险】：</w:t>
      </w:r>
      <w:r>
        <w:rPr>
          <w:spacing w:val="0"/>
          <w:sz w:val="21"/>
          <w:szCs w:val="21"/>
        </w:rPr>
        <w:t>在确保您资金账户不出现透支的前提下，您卖出</w:t>
      </w:r>
      <w:r>
        <w:rPr>
          <w:sz w:val="21"/>
          <w:szCs w:val="21"/>
        </w:rPr>
        <w:t>（T日</w:t>
      </w:r>
      <w:r>
        <w:rPr>
          <w:spacing w:val="0"/>
          <w:sz w:val="21"/>
          <w:szCs w:val="21"/>
        </w:rPr>
        <w:t>）香港</w:t>
      </w:r>
      <w:r>
        <w:rPr>
          <w:rFonts w:hint="eastAsia"/>
          <w:spacing w:val="0"/>
          <w:sz w:val="21"/>
          <w:szCs w:val="21"/>
          <w:lang w:eastAsia="zh-CN"/>
        </w:rPr>
        <w:t>证券</w:t>
      </w:r>
      <w:r>
        <w:rPr>
          <w:spacing w:val="0"/>
          <w:sz w:val="21"/>
          <w:szCs w:val="21"/>
        </w:rPr>
        <w:t>的资金在</w:t>
      </w:r>
      <w:r>
        <w:rPr>
          <w:sz w:val="21"/>
          <w:szCs w:val="21"/>
        </w:rPr>
        <w:t>T+2</w:t>
      </w:r>
      <w:r>
        <w:rPr>
          <w:spacing w:val="0"/>
          <w:sz w:val="21"/>
          <w:szCs w:val="21"/>
        </w:rPr>
        <w:t>日境内交易时可以使用，但在极端情况下您可能面临资金无法正常使用的风险。</w:t>
      </w:r>
    </w:p>
    <w:p>
      <w:pPr>
        <w:spacing w:before="2"/>
        <w:ind w:left="675" w:right="0" w:firstLine="0"/>
        <w:jc w:val="left"/>
        <w:rPr>
          <w:sz w:val="21"/>
        </w:rPr>
      </w:pPr>
      <w:r>
        <w:rPr>
          <w:b/>
          <w:sz w:val="21"/>
        </w:rPr>
        <w:t>三十</w:t>
      </w:r>
      <w:r>
        <w:rPr>
          <w:rFonts w:hint="eastAsia"/>
          <w:b/>
          <w:sz w:val="21"/>
          <w:lang w:val="en-US" w:eastAsia="zh-CN"/>
        </w:rPr>
        <w:t>九</w:t>
      </w:r>
      <w:r>
        <w:rPr>
          <w:b/>
          <w:sz w:val="21"/>
        </w:rPr>
        <w:t>、【分级结算的风险】：</w:t>
      </w:r>
      <w:r>
        <w:rPr>
          <w:sz w:val="21"/>
        </w:rPr>
        <w:t>港股通境内结算实施分级结算原则。您可能面临以下风险：</w:t>
      </w:r>
    </w:p>
    <w:p>
      <w:pPr>
        <w:pStyle w:val="4"/>
        <w:spacing w:before="89" w:line="319" w:lineRule="auto"/>
        <w:ind w:firstLine="420"/>
        <w:jc w:val="both"/>
      </w:pPr>
      <w:r>
        <w:rPr>
          <w:w w:val="100"/>
        </w:rPr>
        <w:t>（一</w:t>
      </w:r>
      <w:r>
        <w:rPr>
          <w:spacing w:val="-36"/>
          <w:w w:val="100"/>
        </w:rPr>
        <w:t>）</w:t>
      </w:r>
      <w:r>
        <w:rPr>
          <w:spacing w:val="-5"/>
          <w:w w:val="100"/>
        </w:rPr>
        <w:t>因我司未完成与中国结算的集中交收，导致您应收资金或证券被暂不交付或处置</w:t>
      </w:r>
      <w:r>
        <w:rPr>
          <w:spacing w:val="-140"/>
          <w:w w:val="100"/>
        </w:rPr>
        <w:t>；</w:t>
      </w:r>
      <w:r>
        <w:rPr>
          <w:spacing w:val="-3"/>
          <w:w w:val="100"/>
        </w:rPr>
        <w:t>（</w:t>
      </w:r>
      <w:r>
        <w:rPr>
          <w:w w:val="100"/>
        </w:rPr>
        <w:t>二</w:t>
      </w:r>
      <w:r>
        <w:rPr>
          <w:spacing w:val="-34"/>
          <w:w w:val="100"/>
        </w:rPr>
        <w:t>）</w:t>
      </w:r>
      <w:r>
        <w:rPr>
          <w:spacing w:val="-2"/>
          <w:w w:val="100"/>
        </w:rPr>
        <w:t>我司对</w:t>
      </w:r>
      <w:r>
        <w:rPr>
          <w:spacing w:val="-5"/>
          <w:w w:val="100"/>
        </w:rPr>
        <w:t>您出现交收违约导致您未能取得应收证券或资金；</w:t>
      </w:r>
      <w:r>
        <w:rPr>
          <w:w w:val="100"/>
        </w:rPr>
        <w:t>（三</w:t>
      </w:r>
      <w:r>
        <w:rPr>
          <w:spacing w:val="2"/>
          <w:w w:val="100"/>
        </w:rPr>
        <w:t>）</w:t>
      </w:r>
      <w:r>
        <w:rPr>
          <w:w w:val="100"/>
        </w:rPr>
        <w:t>我司向中国结算发送的有关您的证券划付指令有</w:t>
      </w:r>
      <w:r>
        <w:rPr>
          <w:spacing w:val="-14"/>
          <w:w w:val="100"/>
        </w:rPr>
        <w:t>误的导致您权益受损；</w:t>
      </w:r>
      <w:r>
        <w:rPr>
          <w:spacing w:val="-3"/>
          <w:w w:val="100"/>
        </w:rPr>
        <w:t>（四</w:t>
      </w:r>
      <w:r>
        <w:rPr>
          <w:w w:val="100"/>
        </w:rPr>
        <w:t>）</w:t>
      </w:r>
      <w:r>
        <w:rPr>
          <w:spacing w:val="-3"/>
          <w:w w:val="100"/>
        </w:rPr>
        <w:t>其他因我司未遵守相关业务规则导致您利益受到损害的情况。</w:t>
      </w:r>
    </w:p>
    <w:p>
      <w:pPr>
        <w:pStyle w:val="4"/>
        <w:spacing w:before="4" w:line="319" w:lineRule="auto"/>
        <w:jc w:val="both"/>
      </w:pPr>
      <w:r>
        <w:rPr>
          <w:rFonts w:hint="eastAsia"/>
          <w:b/>
          <w:spacing w:val="-23"/>
          <w:lang w:val="en-US" w:eastAsia="zh-CN"/>
        </w:rPr>
        <w:t>四十</w:t>
      </w:r>
      <w:r>
        <w:rPr>
          <w:b/>
          <w:spacing w:val="-23"/>
        </w:rPr>
        <w:t>、【税费的风险】：</w:t>
      </w:r>
      <w:r>
        <w:rPr>
          <w:spacing w:val="0"/>
          <w:u w:val="single"/>
        </w:rPr>
        <w:t>由于香港市场收费标准与内地市场收费标准不同，</w:t>
      </w:r>
      <w:r>
        <w:rPr>
          <w:rFonts w:hint="default"/>
          <w:spacing w:val="0"/>
          <w:u w:val="single"/>
        </w:rPr>
        <w:t>香港地区与内地在税收安排方面也存在差异</w:t>
      </w:r>
      <w:r>
        <w:rPr>
          <w:spacing w:val="0"/>
          <w:u w:val="single"/>
        </w:rPr>
        <w:t>，您买卖港股通</w:t>
      </w:r>
      <w:r>
        <w:rPr>
          <w:rFonts w:hint="eastAsia"/>
          <w:spacing w:val="0"/>
          <w:u w:val="single"/>
          <w:lang w:eastAsia="zh-CN"/>
        </w:rPr>
        <w:t>证券</w:t>
      </w:r>
      <w:r>
        <w:rPr>
          <w:spacing w:val="0"/>
          <w:u w:val="single"/>
        </w:rPr>
        <w:t>，应当按照香港市场有关规定交纳相关费用，并按照香港地区相关规定缴纳税款。</w:t>
      </w:r>
      <w:r>
        <w:rPr>
          <w:rFonts w:hint="eastAsia"/>
          <w:spacing w:val="0"/>
          <w:u w:val="single"/>
        </w:rPr>
        <w:t>部分港股通股票可能根据上市公司注册地或者主营业务经营所在地要求，存在其他税收安排。</w:t>
      </w:r>
    </w:p>
    <w:p>
      <w:pPr>
        <w:pStyle w:val="4"/>
        <w:spacing w:line="321" w:lineRule="auto"/>
        <w:jc w:val="both"/>
      </w:pPr>
      <w:r>
        <w:rPr>
          <w:rFonts w:hint="eastAsia"/>
          <w:b/>
          <w:spacing w:val="-17"/>
          <w:lang w:val="en-US" w:eastAsia="zh-CN"/>
        </w:rPr>
        <w:t>四十一</w:t>
      </w:r>
      <w:r>
        <w:rPr>
          <w:b/>
          <w:spacing w:val="-17"/>
        </w:rPr>
        <w:t>、【业务规则制定、修改、执行的风险】：</w:t>
      </w:r>
      <w:r>
        <w:rPr>
          <w:spacing w:val="-6"/>
        </w:rPr>
        <w:t>对于因深交所、中国结算制定、修改业务规则，或者根据业务规则履行自律监管职责等造成的损失，深交所和中国结算不承担责任；您还应当充分知晓并认可</w:t>
      </w:r>
      <w:r>
        <w:rPr>
          <w:spacing w:val="-7"/>
        </w:rPr>
        <w:t>联交所</w:t>
      </w:r>
      <w:r>
        <w:rPr>
          <w:rFonts w:hint="eastAsia"/>
          <w:spacing w:val="-7"/>
        </w:rPr>
        <w:t>、香港结算</w:t>
      </w:r>
      <w:r>
        <w:rPr>
          <w:spacing w:val="-7"/>
        </w:rPr>
        <w:t>在其规则中规定的相关责任豁免条款，包括但不限于对因制定、修改业务规则、根据业务规则履行</w:t>
      </w:r>
      <w:r>
        <w:rPr>
          <w:spacing w:val="-5"/>
        </w:rPr>
        <w:t>自律监管职责、发生或处置交易异常情况等导致的损失不承担责任的规定。</w:t>
      </w:r>
    </w:p>
    <w:p>
      <w:pPr>
        <w:pStyle w:val="4"/>
        <w:spacing w:before="0" w:line="319" w:lineRule="auto"/>
        <w:jc w:val="both"/>
      </w:pPr>
      <w:r>
        <w:rPr>
          <w:rFonts w:hint="eastAsia"/>
          <w:b/>
          <w:spacing w:val="-22"/>
          <w:lang w:val="en-US" w:eastAsia="zh-CN"/>
        </w:rPr>
        <w:t>四十二</w:t>
      </w:r>
      <w:r>
        <w:rPr>
          <w:b/>
          <w:spacing w:val="-22"/>
        </w:rPr>
        <w:t>、【透支的风险】：</w:t>
      </w:r>
      <w:r>
        <w:rPr>
          <w:rFonts w:hint="eastAsia"/>
          <w:spacing w:val="-7"/>
          <w:u w:val="single"/>
        </w:rPr>
        <w:t>由于香港市场的费用收取或者汇率的大幅波动等原因，可能会引起投资者账户的透支，您应当对账户内的余额进行关注；</w:t>
      </w:r>
      <w:r>
        <w:rPr>
          <w:spacing w:val="-8"/>
          <w:u w:val="single"/>
        </w:rPr>
        <w:t>当发生透支时，我司有权</w:t>
      </w:r>
      <w:r>
        <w:rPr>
          <w:spacing w:val="-3"/>
          <w:u w:val="single"/>
        </w:rPr>
        <w:t>要求您补足资金，并保留追偿与罚息的权力</w:t>
      </w:r>
      <w:r>
        <w:t>。</w:t>
      </w:r>
    </w:p>
    <w:p>
      <w:pPr>
        <w:pStyle w:val="4"/>
        <w:spacing w:before="0" w:line="319" w:lineRule="auto"/>
        <w:jc w:val="both"/>
      </w:pPr>
      <w:r>
        <w:rPr>
          <w:rFonts w:hint="eastAsia"/>
          <w:b/>
          <w:spacing w:val="-24"/>
          <w:lang w:val="en-US" w:eastAsia="zh-CN"/>
        </w:rPr>
        <w:t>四十三</w:t>
      </w:r>
      <w:r>
        <w:rPr>
          <w:b/>
          <w:spacing w:val="-24"/>
        </w:rPr>
        <w:t>、【技术的风险】：</w:t>
      </w:r>
      <w:r>
        <w:rPr>
          <w:spacing w:val="-3"/>
        </w:rPr>
        <w:t>港股通交易中若联交所与深交所证券交易服务公司之间的报盘系统或者通信</w:t>
      </w:r>
      <w:r>
        <w:rPr>
          <w:spacing w:val="-4"/>
        </w:rPr>
        <w:t>链路出现故障，可能导致</w:t>
      </w:r>
      <w:r>
        <w:t>15</w:t>
      </w:r>
      <w:r>
        <w:rPr>
          <w:spacing w:val="-6"/>
        </w:rPr>
        <w:t>分钟以上不能申报和撤销申报；资金交收日，因银行划付系统故障，导致交收</w:t>
      </w:r>
      <w:r>
        <w:rPr>
          <w:spacing w:val="-4"/>
        </w:rPr>
        <w:t>资金划付不及时，造成交收失败。您应当关注因此可能产生的风险。</w:t>
      </w:r>
    </w:p>
    <w:p>
      <w:pPr>
        <w:spacing w:before="0" w:line="319" w:lineRule="auto"/>
        <w:ind w:left="253" w:right="546" w:firstLine="422"/>
        <w:jc w:val="both"/>
        <w:rPr>
          <w:sz w:val="21"/>
        </w:rPr>
      </w:pPr>
      <w:r>
        <w:rPr>
          <w:b/>
          <w:spacing w:val="-17"/>
          <w:sz w:val="21"/>
        </w:rPr>
        <w:t>四十</w:t>
      </w:r>
      <w:r>
        <w:rPr>
          <w:rFonts w:hint="eastAsia"/>
          <w:b/>
          <w:spacing w:val="-17"/>
          <w:sz w:val="21"/>
          <w:lang w:val="en-US" w:eastAsia="zh-CN"/>
        </w:rPr>
        <w:t>四</w:t>
      </w:r>
      <w:r>
        <w:rPr>
          <w:b/>
          <w:spacing w:val="-17"/>
          <w:sz w:val="21"/>
        </w:rPr>
        <w:t>、【发生协助执行扣划和非交易过户业务的风险】：</w:t>
      </w:r>
      <w:r>
        <w:rPr>
          <w:spacing w:val="-5"/>
          <w:sz w:val="21"/>
        </w:rPr>
        <w:t>因要向香港税署缴付印花税，协助执行扣划业</w:t>
      </w:r>
      <w:r>
        <w:rPr>
          <w:spacing w:val="-6"/>
          <w:sz w:val="21"/>
        </w:rPr>
        <w:t>务和非交易过户的办理周期至少需要八个港股通交易日，您须关注其中可能带来的</w:t>
      </w:r>
      <w:r>
        <w:rPr>
          <w:rFonts w:hint="eastAsia"/>
          <w:spacing w:val="-6"/>
          <w:sz w:val="21"/>
          <w:lang w:eastAsia="zh-CN"/>
        </w:rPr>
        <w:t>证券价格</w:t>
      </w:r>
      <w:r>
        <w:rPr>
          <w:spacing w:val="-6"/>
          <w:sz w:val="21"/>
        </w:rPr>
        <w:t>波动、司法冻结等风险。</w:t>
      </w:r>
    </w:p>
    <w:p>
      <w:pPr>
        <w:pStyle w:val="4"/>
        <w:spacing w:before="3" w:line="319" w:lineRule="auto"/>
        <w:jc w:val="both"/>
      </w:pPr>
      <w:r>
        <w:rPr>
          <w:b/>
          <w:spacing w:val="-18"/>
        </w:rPr>
        <w:t>四十</w:t>
      </w:r>
      <w:r>
        <w:rPr>
          <w:rFonts w:hint="eastAsia"/>
          <w:b/>
          <w:spacing w:val="-18"/>
          <w:lang w:val="en-US" w:eastAsia="zh-CN"/>
        </w:rPr>
        <w:t>五</w:t>
      </w:r>
      <w:r>
        <w:rPr>
          <w:b/>
          <w:spacing w:val="-18"/>
        </w:rPr>
        <w:t>、【资料保管和保密的风险】：</w:t>
      </w:r>
      <w:r>
        <w:rPr>
          <w:spacing w:val="-5"/>
        </w:rPr>
        <w:t>您应当妥善保管股东代码卡、身份证件、交易密码和资金密码等</w:t>
      </w:r>
      <w:r>
        <w:rPr>
          <w:spacing w:val="-8"/>
        </w:rPr>
        <w:t>资料，如您将股东代码卡、身份证件、交易密码和资金密码等出借给他人使用或遗失，由此造成的后果将</w:t>
      </w:r>
      <w:r>
        <w:rPr>
          <w:spacing w:val="-5"/>
        </w:rPr>
        <w:t>由您承担。</w:t>
      </w:r>
    </w:p>
    <w:p>
      <w:pPr>
        <w:pStyle w:val="4"/>
        <w:spacing w:line="319" w:lineRule="auto"/>
        <w:jc w:val="both"/>
      </w:pPr>
      <w:r>
        <w:rPr>
          <w:b/>
          <w:spacing w:val="-19"/>
        </w:rPr>
        <w:t>四十</w:t>
      </w:r>
      <w:r>
        <w:rPr>
          <w:rFonts w:hint="eastAsia"/>
          <w:b/>
          <w:spacing w:val="-19"/>
          <w:lang w:val="en-US" w:eastAsia="zh-CN"/>
        </w:rPr>
        <w:t>六</w:t>
      </w:r>
      <w:r>
        <w:rPr>
          <w:b/>
          <w:spacing w:val="-19"/>
        </w:rPr>
        <w:t>、【被法律法规禁止或限制参与的风险】：</w:t>
      </w:r>
      <w:r>
        <w:rPr>
          <w:spacing w:val="-3"/>
          <w:u w:val="single"/>
        </w:rPr>
        <w:t>您在决定参与港股通交易前应审慎评估自身</w:t>
      </w:r>
      <w:r>
        <w:rPr>
          <w:rFonts w:hint="eastAsia"/>
          <w:spacing w:val="-3"/>
          <w:u w:val="single"/>
        </w:rPr>
        <w:t>的风险承受能力</w:t>
      </w:r>
      <w:r>
        <w:rPr>
          <w:u w:val="single"/>
        </w:rPr>
        <w:t>,对自身参与港股通交易的合法性进行审慎评估，仔细审查自身身份证明文件、资信材料及其他相</w:t>
      </w:r>
      <w:r>
        <w:rPr>
          <w:rFonts w:hint="eastAsia"/>
          <w:u w:val="single"/>
        </w:rPr>
        <w:t>关申请材料</w:t>
      </w:r>
      <w:r>
        <w:rPr>
          <w:spacing w:val="-11"/>
          <w:w w:val="100"/>
          <w:u w:val="single"/>
        </w:rPr>
        <w:t>，确保提供的信息真实、准确、完整，并以真实身份参与交易。并且承诺</w:t>
      </w:r>
      <w:r>
        <w:rPr>
          <w:spacing w:val="-128"/>
          <w:w w:val="100"/>
          <w:u w:val="single"/>
        </w:rPr>
        <w:t>：</w:t>
      </w:r>
      <w:r>
        <w:rPr>
          <w:w w:val="100"/>
          <w:u w:val="single"/>
        </w:rPr>
        <w:t>（</w:t>
      </w:r>
      <w:r>
        <w:rPr>
          <w:spacing w:val="-3"/>
          <w:w w:val="100"/>
          <w:u w:val="single"/>
        </w:rPr>
        <w:t>一</w:t>
      </w:r>
      <w:r>
        <w:rPr>
          <w:spacing w:val="-20"/>
          <w:w w:val="100"/>
          <w:u w:val="single"/>
        </w:rPr>
        <w:t>）</w:t>
      </w:r>
      <w:r>
        <w:rPr>
          <w:spacing w:val="-3"/>
          <w:w w:val="100"/>
          <w:u w:val="single"/>
        </w:rPr>
        <w:t>不存在严重不良诚</w:t>
      </w:r>
      <w:r>
        <w:rPr>
          <w:spacing w:val="-36"/>
          <w:w w:val="100"/>
          <w:u w:val="single"/>
        </w:rPr>
        <w:t>信记录；</w:t>
      </w:r>
      <w:r>
        <w:rPr>
          <w:spacing w:val="-3"/>
          <w:w w:val="100"/>
          <w:u w:val="single"/>
        </w:rPr>
        <w:t>（</w:t>
      </w:r>
      <w:r>
        <w:rPr>
          <w:w w:val="100"/>
          <w:u w:val="single"/>
        </w:rPr>
        <w:t>二</w:t>
      </w:r>
      <w:r>
        <w:rPr>
          <w:spacing w:val="-29"/>
          <w:w w:val="100"/>
          <w:u w:val="single"/>
        </w:rPr>
        <w:t>）</w:t>
      </w:r>
      <w:r>
        <w:rPr>
          <w:spacing w:val="-9"/>
          <w:w w:val="100"/>
          <w:u w:val="single"/>
        </w:rPr>
        <w:t>不存在法律法规、部门规章、其他规范性文件以及自律规则等禁止、限制或不适于参与港股</w:t>
      </w:r>
      <w:r>
        <w:rPr>
          <w:spacing w:val="-3"/>
          <w:w w:val="100"/>
          <w:u w:val="single"/>
        </w:rPr>
        <w:t>通交易的情形</w:t>
      </w:r>
      <w:r>
        <w:rPr>
          <w:spacing w:val="-130"/>
          <w:w w:val="100"/>
          <w:u w:val="single"/>
        </w:rPr>
        <w:t>；</w:t>
      </w:r>
      <w:r>
        <w:rPr>
          <w:w w:val="100"/>
          <w:u w:val="single"/>
        </w:rPr>
        <w:t>（</w:t>
      </w:r>
      <w:r>
        <w:rPr>
          <w:spacing w:val="-3"/>
          <w:w w:val="100"/>
          <w:u w:val="single"/>
        </w:rPr>
        <w:t>三</w:t>
      </w:r>
      <w:r>
        <w:rPr>
          <w:spacing w:val="-25"/>
          <w:w w:val="100"/>
          <w:u w:val="single"/>
        </w:rPr>
        <w:t>）</w:t>
      </w:r>
      <w:r>
        <w:rPr>
          <w:spacing w:val="-9"/>
          <w:w w:val="100"/>
          <w:u w:val="single"/>
        </w:rPr>
        <w:t>将遵守港股通交易的有关法律、行政法规、部门规章、其他规范性文件、自律规则</w:t>
      </w:r>
      <w:r>
        <w:rPr>
          <w:spacing w:val="-4"/>
          <w:w w:val="100"/>
          <w:u w:val="single"/>
        </w:rPr>
        <w:t>、证券登记结算机构业务规则及证券交易所交易规则等规定；</w:t>
      </w:r>
      <w:r>
        <w:rPr>
          <w:w w:val="100"/>
          <w:u w:val="single"/>
        </w:rPr>
        <w:t>（四）将按照我司的相关业务流程办理业务</w:t>
      </w:r>
      <w:r>
        <w:t>。</w:t>
      </w:r>
    </w:p>
    <w:p>
      <w:pPr>
        <w:pStyle w:val="4"/>
        <w:spacing w:before="8"/>
        <w:ind w:left="673" w:right="0" w:firstLine="0"/>
      </w:pPr>
      <w:r>
        <w:rPr>
          <w:spacing w:val="-3"/>
          <w:u w:val="single"/>
        </w:rPr>
        <w:t>如您的实际与承诺不符，将可能被禁止或限制参与港股通业务。我司将保留追偿损失的权力。</w:t>
      </w:r>
    </w:p>
    <w:p>
      <w:pPr>
        <w:pStyle w:val="4"/>
        <w:spacing w:before="89" w:line="319" w:lineRule="auto"/>
        <w:ind w:right="545"/>
        <w:jc w:val="both"/>
      </w:pPr>
      <w:r>
        <w:rPr>
          <w:b/>
        </w:rPr>
        <w:t>四十</w:t>
      </w:r>
      <w:r>
        <w:rPr>
          <w:rFonts w:hint="eastAsia"/>
          <w:b/>
          <w:lang w:val="en-US" w:eastAsia="zh-CN"/>
        </w:rPr>
        <w:t>七</w:t>
      </w:r>
      <w:r>
        <w:rPr>
          <w:b/>
          <w:spacing w:val="-24"/>
        </w:rPr>
        <w:t>、【被采取监管措施或者纪律处分的风险】：</w:t>
      </w:r>
      <w:r>
        <w:rPr>
          <w:spacing w:val="-11"/>
          <w:u w:val="single"/>
        </w:rPr>
        <w:t>您参与港股通交易，不得违反港股通业务相关规定</w:t>
      </w:r>
      <w:r>
        <w:rPr>
          <w:rFonts w:hint="eastAsia"/>
          <w:spacing w:val="-11"/>
          <w:u w:val="single"/>
        </w:rPr>
        <w:t>，不得从事市场失当行为</w:t>
      </w:r>
      <w:r>
        <w:rPr>
          <w:spacing w:val="-3"/>
          <w:u w:val="single"/>
        </w:rPr>
        <w:t>（</w:t>
      </w:r>
      <w:r>
        <w:rPr>
          <w:spacing w:val="-4"/>
          <w:u w:val="single"/>
        </w:rPr>
        <w:t>市场失当行为指香港地区法律及香港证券及期货事务监察委员会、联交所等规定的内</w:t>
      </w:r>
      <w:r>
        <w:rPr>
          <w:spacing w:val="-8"/>
          <w:u w:val="single"/>
        </w:rPr>
        <w:t>幕交易、虚假交易、操控价格、披露关于受禁交易的资料、披露虚假或具误导性的资料以诱使进行交易</w:t>
      </w:r>
      <w:r>
        <w:rPr>
          <w:spacing w:val="-7"/>
          <w:u w:val="single"/>
        </w:rPr>
        <w:t>、操纵证券市场及其他市场失当行为</w:t>
      </w:r>
      <w:r>
        <w:rPr>
          <w:spacing w:val="-109"/>
          <w:u w:val="single"/>
        </w:rPr>
        <w:t>）</w:t>
      </w:r>
      <w:r>
        <w:rPr>
          <w:spacing w:val="-11"/>
          <w:u w:val="single"/>
        </w:rPr>
        <w:t>。如您违反港股通业务相关规定，深交所可以实施口头警示、书面警</w:t>
      </w:r>
      <w:r>
        <w:rPr>
          <w:spacing w:val="-193"/>
          <w:u w:val="single"/>
        </w:rPr>
        <w:t>示</w:t>
      </w:r>
      <w:r>
        <w:rPr>
          <w:spacing w:val="-3"/>
          <w:u w:val="single"/>
        </w:rPr>
        <w:t>、监管谈话、通报批评、公开谴责等监管措施或者纪律处分；情节严重的，将报中国证监会查处</w:t>
      </w:r>
      <w:r>
        <w:t>。</w:t>
      </w:r>
    </w:p>
    <w:p>
      <w:pPr>
        <w:pStyle w:val="4"/>
        <w:spacing w:before="61" w:line="321" w:lineRule="auto"/>
        <w:ind w:firstLine="0"/>
      </w:pPr>
      <w:r>
        <w:rPr>
          <w:rFonts w:hint="eastAsia"/>
          <w:b/>
          <w:sz w:val="21"/>
          <w:lang w:eastAsia="zh-CN"/>
        </w:rPr>
        <w:t>　　</w:t>
      </w:r>
      <w:r>
        <w:rPr>
          <w:b/>
          <w:sz w:val="21"/>
        </w:rPr>
        <w:t>四十</w:t>
      </w:r>
      <w:r>
        <w:rPr>
          <w:rFonts w:hint="eastAsia"/>
          <w:b/>
          <w:sz w:val="21"/>
          <w:lang w:val="en-US" w:eastAsia="zh-CN"/>
        </w:rPr>
        <w:t>八</w:t>
      </w:r>
      <w:r>
        <w:rPr>
          <w:b/>
          <w:sz w:val="21"/>
        </w:rPr>
        <w:t>、【买卖自负的风险】：</w:t>
      </w:r>
      <w:r>
        <w:rPr>
          <w:sz w:val="21"/>
          <w:u w:val="single"/>
        </w:rPr>
        <w:t>您应当充分理解并遵循“买卖自负”的金融市场原则，充分认识港股通</w:t>
      </w:r>
      <w:r>
        <w:rPr>
          <w:spacing w:val="-7"/>
          <w:u w:val="single"/>
        </w:rPr>
        <w:t>交易中面临的各类风险，根据相关市场信息理性判断、自主决策，并自行承担交易后果，</w:t>
      </w:r>
      <w:r>
        <w:rPr>
          <w:rFonts w:hint="eastAsia"/>
          <w:spacing w:val="-7"/>
          <w:u w:val="single"/>
        </w:rPr>
        <w:t>不得以不符合适当性标准为由拒绝承担港股通交易履约责任</w:t>
      </w:r>
      <w:r>
        <w:t>。</w:t>
      </w:r>
    </w:p>
    <w:p>
      <w:pPr>
        <w:pStyle w:val="5"/>
        <w:keepNext w:val="0"/>
        <w:keepLines w:val="0"/>
        <w:widowControl/>
        <w:suppressLineNumbers w:val="0"/>
        <w:spacing w:before="60" w:beforeAutospacing="0" w:after="75" w:afterAutospacing="0" w:line="279" w:lineRule="atLeast"/>
        <w:ind w:left="0" w:right="0"/>
        <w:rPr>
          <w:rFonts w:hint="eastAsia" w:ascii="微软雅黑" w:hAnsi="微软雅黑" w:eastAsia="微软雅黑" w:cs="微软雅黑"/>
          <w:color w:val="484848"/>
          <w:sz w:val="21"/>
          <w:szCs w:val="21"/>
        </w:rPr>
      </w:pPr>
      <w:r>
        <w:rPr>
          <w:rFonts w:hint="eastAsia"/>
          <w:b/>
          <w:sz w:val="21"/>
          <w:szCs w:val="21"/>
          <w:lang w:val="zh-CN" w:bidi="zh-CN"/>
        </w:rPr>
        <w:t>　　四</w:t>
      </w:r>
      <w:r>
        <w:rPr>
          <w:rFonts w:hint="eastAsia"/>
          <w:b/>
          <w:bCs w:val="0"/>
          <w:sz w:val="21"/>
          <w:szCs w:val="21"/>
          <w:lang w:val="zh-CN" w:bidi="zh-CN"/>
        </w:rPr>
        <w:t>十</w:t>
      </w:r>
      <w:r>
        <w:rPr>
          <w:rFonts w:hint="eastAsia"/>
          <w:b/>
          <w:bCs w:val="0"/>
          <w:sz w:val="21"/>
          <w:szCs w:val="21"/>
          <w:lang w:val="zh-CN" w:eastAsia="zh-CN" w:bidi="zh-CN"/>
        </w:rPr>
        <w:t>九</w:t>
      </w:r>
      <w:r>
        <w:rPr>
          <w:rFonts w:hint="eastAsia"/>
          <w:b/>
          <w:bCs w:val="0"/>
          <w:spacing w:val="0"/>
          <w:sz w:val="21"/>
          <w:szCs w:val="21"/>
          <w:lang w:val="zh-CN" w:bidi="zh-CN"/>
        </w:rPr>
        <w:t>、</w:t>
      </w:r>
      <w:r>
        <w:rPr>
          <w:rStyle w:val="7"/>
          <w:rFonts w:hint="eastAsia" w:ascii="仿宋" w:hAnsi="仿宋" w:eastAsia="仿宋" w:cs="仿宋"/>
          <w:b/>
          <w:bCs w:val="0"/>
          <w:spacing w:val="0"/>
          <w:sz w:val="21"/>
          <w:szCs w:val="21"/>
          <w:lang w:val="zh-CN" w:bidi="zh-CN"/>
        </w:rPr>
        <w:t>【收费标准不同的风险】：</w:t>
      </w:r>
      <w:r>
        <w:rPr>
          <w:rStyle w:val="8"/>
          <w:rFonts w:hint="eastAsia" w:ascii="仿宋" w:hAnsi="仿宋" w:eastAsia="仿宋" w:cs="仿宋"/>
          <w:color w:val="484848"/>
          <w:spacing w:val="-15"/>
          <w:sz w:val="21"/>
          <w:szCs w:val="21"/>
        </w:rPr>
        <w:t>您参与港股通交易，将执行香港市场的收费标准。由于深港两地收费标准存在较大差异，您应当详细了解港股通业务的收费标准，避免因不了解收费标准而产生的风险。相关税费包括但不限于佣金、交易系统使用费、证券投资组合费、股份交收费用、印花税。上述税费费率以香港证监会、香港联交所、香港结算、香港税局、本公司等收费主体最新收费标准为准，本公司将及时据市场公告进行调整，请投资者自行关注市场新闻公告及本公司通知。</w:t>
      </w:r>
    </w:p>
    <w:p>
      <w:pPr>
        <w:pStyle w:val="5"/>
        <w:keepNext w:val="0"/>
        <w:keepLines w:val="0"/>
        <w:widowControl/>
        <w:suppressLineNumbers w:val="0"/>
        <w:spacing w:before="45" w:beforeAutospacing="0" w:after="75" w:afterAutospacing="0" w:line="240" w:lineRule="auto"/>
        <w:ind w:left="0" w:right="0" w:firstLine="0"/>
        <w:rPr>
          <w:rFonts w:hint="eastAsia" w:ascii="微软雅黑" w:hAnsi="微软雅黑" w:eastAsia="微软雅黑" w:cs="微软雅黑"/>
          <w:color w:val="484848"/>
          <w:sz w:val="21"/>
          <w:szCs w:val="21"/>
        </w:rPr>
      </w:pPr>
      <w:r>
        <w:rPr>
          <w:rStyle w:val="8"/>
          <w:rFonts w:hint="eastAsia" w:cs="仿宋"/>
          <w:color w:val="484848"/>
          <w:sz w:val="21"/>
          <w:szCs w:val="21"/>
          <w:lang w:eastAsia="zh-CN"/>
        </w:rPr>
        <w:t>　　</w:t>
      </w:r>
      <w:r>
        <w:rPr>
          <w:rStyle w:val="8"/>
          <w:rFonts w:hint="eastAsia" w:ascii="仿宋" w:hAnsi="仿宋" w:eastAsia="仿宋" w:cs="仿宋"/>
          <w:color w:val="484848"/>
          <w:sz w:val="21"/>
          <w:szCs w:val="21"/>
        </w:rPr>
        <w:t>交易系统使用费是按撮合成交笔数收取，因无法预计您每笔委托后的撮合成交笔数，我司将按照每笔委托冻结5港元进行资金调整，日终清算时，按实际撮合笔数进行扣费，多退少补。</w:t>
      </w:r>
    </w:p>
    <w:p>
      <w:pPr>
        <w:pStyle w:val="5"/>
        <w:keepNext w:val="0"/>
        <w:keepLines w:val="0"/>
        <w:widowControl/>
        <w:suppressLineNumbers w:val="0"/>
        <w:spacing w:before="0" w:beforeAutospacing="0" w:after="75" w:afterAutospacing="0"/>
        <w:ind w:left="0" w:right="0" w:firstLine="422" w:firstLineChars="200"/>
        <w:rPr>
          <w:rFonts w:hint="eastAsia" w:ascii="微软雅黑" w:hAnsi="微软雅黑" w:eastAsia="微软雅黑" w:cs="微软雅黑"/>
          <w:color w:val="484848"/>
          <w:sz w:val="21"/>
          <w:szCs w:val="21"/>
          <w:u w:val="single"/>
        </w:rPr>
      </w:pPr>
      <w:r>
        <w:rPr>
          <w:rStyle w:val="8"/>
          <w:rFonts w:hint="eastAsia" w:ascii="仿宋" w:hAnsi="仿宋" w:eastAsia="仿宋" w:cs="仿宋"/>
          <w:color w:val="484848"/>
          <w:sz w:val="21"/>
          <w:szCs w:val="21"/>
        </w:rPr>
        <w:t>证券投资组合费因按每个自然日收取，为预防透支，</w:t>
      </w:r>
      <w:r>
        <w:rPr>
          <w:rStyle w:val="8"/>
          <w:rFonts w:hint="eastAsia" w:ascii="仿宋" w:hAnsi="仿宋" w:eastAsia="仿宋" w:cs="仿宋"/>
          <w:color w:val="FF0000"/>
          <w:sz w:val="21"/>
          <w:szCs w:val="21"/>
          <w:u w:val="single"/>
        </w:rPr>
        <w:t>我司将在您办理港股通业务权限开通时冻结50元人民币，用于防止证券投资组合费的透支风险，取消权限时将进行解冻</w:t>
      </w:r>
      <w:r>
        <w:rPr>
          <w:rStyle w:val="8"/>
          <w:rFonts w:hint="eastAsia" w:ascii="仿宋" w:hAnsi="仿宋" w:eastAsia="仿宋" w:cs="仿宋"/>
          <w:color w:val="484848"/>
          <w:sz w:val="21"/>
          <w:szCs w:val="21"/>
          <w:u w:val="single"/>
        </w:rPr>
        <w:t>。</w:t>
      </w:r>
    </w:p>
    <w:p>
      <w:pPr>
        <w:spacing w:before="89"/>
        <w:ind w:left="253" w:right="0" w:firstLine="0"/>
        <w:jc w:val="left"/>
        <w:rPr>
          <w:b/>
          <w:sz w:val="21"/>
        </w:rPr>
      </w:pPr>
    </w:p>
    <w:p>
      <w:pPr>
        <w:pStyle w:val="4"/>
        <w:spacing w:before="5"/>
        <w:ind w:left="0" w:right="0" w:firstLine="0"/>
        <w:rPr>
          <w:b/>
          <w:sz w:val="29"/>
        </w:rPr>
      </w:pPr>
    </w:p>
    <w:p>
      <w:pPr>
        <w:spacing w:before="72"/>
        <w:ind w:left="253" w:right="0" w:firstLine="0"/>
        <w:jc w:val="left"/>
        <w:rPr>
          <w:b/>
          <w:sz w:val="21"/>
        </w:rPr>
      </w:pPr>
      <w:r>
        <w:rPr>
          <w:rFonts w:hint="eastAsia"/>
          <w:b/>
          <w:sz w:val="21"/>
          <w:lang w:eastAsia="zh-CN"/>
        </w:rPr>
        <w:t>　　</w:t>
      </w:r>
      <w:r>
        <w:rPr>
          <w:b/>
          <w:sz w:val="21"/>
        </w:rPr>
        <w:t>广发证券股份有限公司郑重提示：</w:t>
      </w:r>
    </w:p>
    <w:p>
      <w:pPr>
        <w:pStyle w:val="4"/>
        <w:spacing w:before="91" w:line="319" w:lineRule="auto"/>
        <w:ind w:right="443" w:firstLine="420"/>
        <w:rPr>
          <w:b/>
          <w:bCs/>
        </w:rPr>
      </w:pPr>
      <w:r>
        <w:rPr>
          <w:b/>
          <w:bCs/>
          <w:spacing w:val="-10"/>
        </w:rPr>
        <w:t>上述风险揭示事项仅为列举性质，未能详尽列明港股通交易的所有风险因素，</w:t>
      </w:r>
      <w:r>
        <w:rPr>
          <w:rFonts w:hint="eastAsia"/>
          <w:b/>
          <w:bCs/>
          <w:spacing w:val="-10"/>
        </w:rPr>
        <w:t>且未来有关法律法规和业务规则发生变化时可能不会要求投资者重新签署风险揭示书，</w:t>
      </w:r>
      <w:r>
        <w:rPr>
          <w:b/>
          <w:bCs/>
          <w:spacing w:val="-10"/>
        </w:rPr>
        <w:t>您在参与港股通交易前，</w:t>
      </w:r>
      <w:r>
        <w:rPr>
          <w:b/>
          <w:bCs/>
          <w:spacing w:val="-7"/>
        </w:rPr>
        <w:t>还应认真阅</w:t>
      </w:r>
      <w:r>
        <w:rPr>
          <w:rFonts w:hint="eastAsia"/>
          <w:b/>
          <w:bCs/>
          <w:spacing w:val="-7"/>
        </w:rPr>
        <w:t>有关法律法规、</w:t>
      </w:r>
      <w:r>
        <w:rPr>
          <w:b/>
          <w:bCs/>
          <w:spacing w:val="-7"/>
        </w:rPr>
        <w:t>读联交所上市公司的年报、公告等内容及相关业务规则及协议条款，对港股通交易所特有的规</w:t>
      </w:r>
      <w:r>
        <w:rPr>
          <w:b/>
          <w:bCs/>
          <w:spacing w:val="-8"/>
        </w:rPr>
        <w:t>则必须了解和掌握，并确信自己已做好足够的风险评估与财务安排，避免因参与港股通交易而遭受难以承</w:t>
      </w:r>
      <w:r>
        <w:rPr>
          <w:b/>
          <w:bCs/>
          <w:spacing w:val="-5"/>
        </w:rPr>
        <w:t>受的损失。</w:t>
      </w:r>
    </w:p>
    <w:p>
      <w:pPr>
        <w:pStyle w:val="4"/>
        <w:spacing w:before="3"/>
        <w:ind w:left="0" w:right="0" w:firstLine="0"/>
        <w:rPr>
          <w:sz w:val="28"/>
        </w:rPr>
      </w:pPr>
    </w:p>
    <w:p>
      <w:pPr>
        <w:pStyle w:val="3"/>
      </w:pPr>
      <w:r>
        <w:t>投资者声明及承诺</w:t>
      </w:r>
    </w:p>
    <w:p>
      <w:pPr>
        <w:pStyle w:val="4"/>
        <w:spacing w:before="91" w:line="319" w:lineRule="auto"/>
        <w:ind w:right="548" w:firstLine="420"/>
      </w:pPr>
      <w:r>
        <w:rPr>
          <w:spacing w:val="-7"/>
          <w:u w:val="single"/>
        </w:rPr>
        <w:t>以上《广发证券深市港股通业务客户风险揭示书》的各项内容、相关风险以及特别说明，本人</w:t>
      </w:r>
      <w:r>
        <w:rPr>
          <w:spacing w:val="-3"/>
          <w:u w:val="single"/>
        </w:rPr>
        <w:t>（</w:t>
      </w:r>
      <w:r>
        <w:rPr>
          <w:rFonts w:hint="eastAsia"/>
          <w:spacing w:val="-3"/>
          <w:u w:val="single"/>
        </w:rPr>
        <w:t>本单位）已阅读并完全理解和认可</w:t>
      </w:r>
      <w:r>
        <w:rPr>
          <w:spacing w:val="-3"/>
          <w:u w:val="single"/>
        </w:rPr>
        <w:t>，并愿意承担由此产生的一切风险</w:t>
      </w:r>
    </w:p>
    <w:p>
      <w:pPr>
        <w:pStyle w:val="4"/>
        <w:spacing w:before="6"/>
        <w:ind w:left="0" w:right="0" w:firstLine="0"/>
        <w:rPr>
          <w:sz w:val="22"/>
        </w:rPr>
      </w:pPr>
    </w:p>
    <w:p>
      <w:pPr>
        <w:pStyle w:val="4"/>
        <w:tabs>
          <w:tab w:val="left" w:pos="6030"/>
        </w:tabs>
        <w:spacing w:before="72"/>
        <w:ind w:right="0" w:firstLine="0"/>
      </w:pPr>
      <w:r>
        <w:rPr>
          <w:w w:val="100"/>
        </w:rPr>
        <w:t>客户</w:t>
      </w:r>
      <w:r>
        <w:rPr>
          <w:spacing w:val="-3"/>
          <w:w w:val="100"/>
        </w:rPr>
        <w:t>（</w:t>
      </w:r>
      <w:r>
        <w:rPr>
          <w:w w:val="100"/>
        </w:rPr>
        <w:t>签</w:t>
      </w:r>
      <w:r>
        <w:rPr>
          <w:spacing w:val="-3"/>
          <w:w w:val="100"/>
        </w:rPr>
        <w:t>字</w:t>
      </w:r>
      <w:r>
        <w:rPr>
          <w:w w:val="100"/>
        </w:rPr>
        <w:t>或</w:t>
      </w:r>
      <w:r>
        <w:rPr>
          <w:spacing w:val="-3"/>
          <w:w w:val="100"/>
        </w:rPr>
        <w:t>盖</w:t>
      </w:r>
      <w:r>
        <w:rPr>
          <w:w w:val="100"/>
        </w:rPr>
        <w:t>章</w:t>
      </w:r>
      <w:r>
        <w:rPr>
          <w:spacing w:val="-108"/>
          <w:w w:val="100"/>
        </w:rPr>
        <w:t>）</w:t>
      </w:r>
      <w:r>
        <w:rPr>
          <w:w w:val="100"/>
        </w:rPr>
        <w:t>：</w:t>
      </w:r>
      <w:r>
        <w:tab/>
      </w:r>
      <w:r>
        <w:rPr>
          <w:w w:val="100"/>
        </w:rPr>
        <w:t>营业</w:t>
      </w:r>
      <w:r>
        <w:rPr>
          <w:spacing w:val="-3"/>
          <w:w w:val="100"/>
        </w:rPr>
        <w:t>部</w:t>
      </w:r>
      <w:r>
        <w:rPr>
          <w:w w:val="100"/>
        </w:rPr>
        <w:t>业</w:t>
      </w:r>
      <w:r>
        <w:rPr>
          <w:spacing w:val="-3"/>
          <w:w w:val="100"/>
        </w:rPr>
        <w:t>务</w:t>
      </w:r>
      <w:r>
        <w:rPr>
          <w:w w:val="100"/>
        </w:rPr>
        <w:t>受</w:t>
      </w:r>
      <w:r>
        <w:rPr>
          <w:spacing w:val="-3"/>
          <w:w w:val="100"/>
        </w:rPr>
        <w:t>理</w:t>
      </w:r>
      <w:r>
        <w:rPr>
          <w:w w:val="100"/>
        </w:rPr>
        <w:t>人：</w:t>
      </w:r>
    </w:p>
    <w:p>
      <w:pPr>
        <w:pStyle w:val="4"/>
        <w:tabs>
          <w:tab w:val="left" w:pos="6030"/>
        </w:tabs>
        <w:spacing w:before="91"/>
        <w:ind w:right="0" w:firstLine="0"/>
      </w:pPr>
      <w:r>
        <w:t>法定</w:t>
      </w:r>
      <w:r>
        <w:rPr>
          <w:spacing w:val="-3"/>
        </w:rPr>
        <w:t>代</w:t>
      </w:r>
      <w:r>
        <w:t>表</w:t>
      </w:r>
      <w:r>
        <w:rPr>
          <w:spacing w:val="-3"/>
        </w:rPr>
        <w:t>人</w:t>
      </w:r>
      <w:r>
        <w:t>（</w:t>
      </w:r>
      <w:r>
        <w:rPr>
          <w:spacing w:val="-3"/>
        </w:rPr>
        <w:t>或</w:t>
      </w:r>
      <w:r>
        <w:t>授</w:t>
      </w:r>
      <w:r>
        <w:rPr>
          <w:spacing w:val="-3"/>
        </w:rPr>
        <w:t>权</w:t>
      </w:r>
      <w:r>
        <w:t>代</w:t>
      </w:r>
      <w:r>
        <w:rPr>
          <w:spacing w:val="-3"/>
        </w:rPr>
        <w:t>表</w:t>
      </w:r>
      <w:r>
        <w:t>人）</w:t>
      </w:r>
      <w:r>
        <w:rPr>
          <w:spacing w:val="-3"/>
        </w:rPr>
        <w:t>签</w:t>
      </w:r>
      <w:r>
        <w:t>字：</w:t>
      </w:r>
      <w:r>
        <w:tab/>
      </w:r>
      <w:r>
        <w:t>营业</w:t>
      </w:r>
      <w:r>
        <w:rPr>
          <w:spacing w:val="-3"/>
        </w:rPr>
        <w:t>部</w:t>
      </w:r>
      <w:r>
        <w:t>业</w:t>
      </w:r>
      <w:r>
        <w:rPr>
          <w:spacing w:val="-3"/>
        </w:rPr>
        <w:t>务</w:t>
      </w:r>
      <w:r>
        <w:t>专</w:t>
      </w:r>
      <w:r>
        <w:rPr>
          <w:spacing w:val="-3"/>
        </w:rPr>
        <w:t>用</w:t>
      </w:r>
      <w:r>
        <w:t>章：</w:t>
      </w:r>
    </w:p>
    <w:p>
      <w:pPr>
        <w:pStyle w:val="4"/>
        <w:tabs>
          <w:tab w:val="left" w:pos="6030"/>
        </w:tabs>
        <w:spacing w:before="88"/>
        <w:ind w:right="0" w:firstLine="0"/>
      </w:pPr>
      <w:r>
        <w:t>签署</w:t>
      </w:r>
      <w:r>
        <w:rPr>
          <w:spacing w:val="-3"/>
        </w:rPr>
        <w:t>日</w:t>
      </w:r>
      <w:r>
        <w:t>期：</w:t>
      </w:r>
      <w:r>
        <w:tab/>
      </w:r>
      <w:r>
        <w:t>签署</w:t>
      </w:r>
      <w:r>
        <w:rPr>
          <w:spacing w:val="-3"/>
        </w:rPr>
        <w:t>日</w:t>
      </w:r>
      <w:r>
        <w:t>期：</w:t>
      </w:r>
    </w:p>
    <w:sectPr>
      <w:headerReference r:id="rId5" w:type="default"/>
      <w:footerReference r:id="rId6" w:type="default"/>
      <w:pgSz w:w="11900" w:h="16850"/>
      <w:pgMar w:top="1100" w:right="580" w:bottom="1060" w:left="880" w:header="567" w:footer="865"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0" w:line="14" w:lineRule="auto"/>
      <w:ind w:left="0" w:right="0" w:firstLine="0"/>
      <w:rPr>
        <w:sz w:val="20"/>
      </w:rPr>
    </w:pPr>
    <w:r>
      <w:pict>
        <v:shape id="_x0000_s4103" o:spid="_x0000_s4103" o:spt="202" type="#_x0000_t202" style="position:absolute;left:0pt;margin-left:421.6pt;margin-top:801pt;height:11.4pt;width:134.75pt;mso-position-horizontal-relative:page;mso-position-vertical-relative:page;z-index:-251651072;mso-width-relative:page;mso-height-relative:page;" filled="f" stroked="f" coordsize="21600,21600">
          <v:path/>
          <v:fill on="f" focussize="0,0"/>
          <v:stroke on="f"/>
          <v:imagedata o:title=""/>
          <o:lock v:ext="edit" aspectratio="f"/>
          <v:textbox inset="0mm,0mm,0mm,0mm">
            <w:txbxContent>
              <w:p>
                <w:pPr>
                  <w:spacing w:before="0" w:line="228" w:lineRule="exact"/>
                  <w:ind w:left="40" w:right="0" w:firstLine="0"/>
                  <w:jc w:val="right"/>
                  <w:rPr>
                    <w:rFonts w:hint="default" w:ascii="等线" w:eastAsia="仿宋"/>
                    <w:sz w:val="18"/>
                    <w:lang w:val="en-US" w:eastAsia="zh-CN"/>
                  </w:rPr>
                </w:pPr>
                <w:r>
                  <w:rPr>
                    <w:rFonts w:hint="eastAsia"/>
                    <w:lang w:val="en-US" w:eastAsia="zh-CN"/>
                  </w:rPr>
                  <w:t>2022年6月版</w:t>
                </w:r>
              </w:p>
            </w:txbxContent>
          </v:textbox>
        </v:shape>
      </w:pict>
    </w:r>
    <w:r>
      <w:pict>
        <v:group id="_x0000_s4098" o:spid="_x0000_s4098" o:spt="203" style="position:absolute;left:0pt;margin-left:56.75pt;margin-top:801.75pt;height:5pt;width:52.8pt;mso-position-horizontal-relative:page;mso-position-vertical-relative:page;z-index:-251655168;mso-width-relative:page;mso-height-relative:page;" coordorigin="1136,16036" coordsize="1056,100">
          <o:lock v:ext="edit"/>
          <v:shape id="_x0000_s4099" o:spid="_x0000_s4099" o:spt="75" type="#_x0000_t75" style="position:absolute;left:1135;top:16035;height:88;width:993;" filled="f" stroked="f" coordsize="21600,21600">
            <v:path/>
            <v:fill on="f" focussize="0,0"/>
            <v:stroke on="f"/>
            <v:imagedata r:id="rId1" o:title=""/>
            <o:lock v:ext="edit" aspectratio="t"/>
          </v:shape>
          <v:shape id="_x0000_s4100" o:spid="_x0000_s4100" style="position:absolute;left:2141;top:16107;height:28;width:50;" fillcolor="#585656" filled="t" stroked="f" coordorigin="2142,16108" coordsize="50,28" path="m2154,16108l2142,16108,2142,16122,2154,16122,2154,16108m2192,16108l2180,16108,2172,16135,2182,16135,2192,16108e">
            <v:path arrowok="t"/>
            <v:fill on="t" focussize="0,0"/>
            <v:stroke on="f"/>
            <v:imagedata o:title=""/>
            <o:lock v:ext="edit"/>
          </v:shape>
        </v:group>
      </w:pict>
    </w:r>
    <w:r>
      <w:pict>
        <v:shape id="_x0000_s4101" o:spid="_x0000_s4101" style="position:absolute;left:0pt;margin-left:112.35pt;margin-top:801.85pt;height:4.2pt;width:10.35pt;mso-position-horizontal-relative:page;mso-position-vertical-relative:page;z-index:-251654144;mso-width-relative:page;mso-height-relative:page;" fillcolor="#585656" filled="t" stroked="f" coordorigin="2247,16038" coordsize="207,84" path="m2293,16112l2259,16112,2259,16038,2247,16038,2247,16122,2293,16122,2293,16112m2345,16038l2285,16038,2285,16047,2309,16047,2309,16122,2321,16122,2321,16047,2345,16047,2345,16038m2424,16065l2420,16055,2412,16047,2412,16069,2412,16088,2410,16096,2398,16108,2388,16112,2369,16112,2369,16045,2390,16045,2398,16049,2404,16055,2410,16059,2412,16069,2412,16047,2410,16045,2404,16040,2392,16038,2357,16038,2357,16122,2392,16122,2404,16118,2410,16112,2420,16102,2424,16092,2424,16065m2454,16108l2442,16108,2442,16122,2454,16122,2454,16108e">
          <v:path arrowok="t"/>
          <v:fill on="t" focussize="0,0"/>
          <v:stroke on="f"/>
          <v:imagedata o:title=""/>
          <o:lock v:ext="edit"/>
        </v:shape>
      </w:pict>
    </w:r>
    <w:r>
      <w:drawing>
        <wp:anchor distT="0" distB="0" distL="0" distR="0" simplePos="0" relativeHeight="251663360" behindDoc="1" locked="0" layoutInCell="1" allowOverlap="1">
          <wp:simplePos x="0" y="0"/>
          <wp:positionH relativeFrom="page">
            <wp:posOffset>719455</wp:posOffset>
          </wp:positionH>
          <wp:positionV relativeFrom="page">
            <wp:posOffset>10033635</wp:posOffset>
          </wp:positionV>
          <wp:extent cx="946785" cy="84455"/>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png"/>
                  <pic:cNvPicPr>
                    <a:picLocks noChangeAspect="1"/>
                  </pic:cNvPicPr>
                </pic:nvPicPr>
                <pic:blipFill>
                  <a:blip r:embed="rId2" cstate="print"/>
                  <a:stretch>
                    <a:fillRect/>
                  </a:stretch>
                </pic:blipFill>
                <pic:spPr>
                  <a:xfrm>
                    <a:off x="0" y="0"/>
                    <a:ext cx="946816" cy="84344"/>
                  </a:xfrm>
                  <a:prstGeom prst="rect">
                    <a:avLst/>
                  </a:prstGeom>
                </pic:spPr>
              </pic:pic>
            </a:graphicData>
          </a:graphic>
        </wp:anchor>
      </w:drawing>
    </w:r>
    <w:r>
      <w:pict>
        <v:shape id="_x0000_s4102" o:spid="_x0000_s4102" o:spt="202" type="#_x0000_t202" style="position:absolute;left:0pt;margin-left:293.1pt;margin-top:787.75pt;height:11.4pt;width:8.75pt;mso-position-horizontal-relative:page;mso-position-vertical-relative:page;z-index:-251652096;mso-width-relative:page;mso-height-relative:page;" filled="f" stroked="f" coordsize="21600,21600">
          <v:path/>
          <v:fill on="f" focussize="0,0"/>
          <v:stroke on="f" joinstyle="miter"/>
          <v:imagedata o:title=""/>
          <o:lock v:ext="edit"/>
          <v:textbox inset="0mm,0mm,0mm,0mm">
            <w:txbxContent>
              <w:p>
                <w:pPr>
                  <w:spacing w:before="0" w:line="228" w:lineRule="exact"/>
                  <w:ind w:left="40" w:right="0" w:firstLine="0"/>
                  <w:jc w:val="left"/>
                  <w:rPr>
                    <w:rFonts w:ascii="等线"/>
                    <w:sz w:val="18"/>
                  </w:rPr>
                </w:pPr>
                <w:r>
                  <w:fldChar w:fldCharType="begin"/>
                </w:r>
                <w:r>
                  <w:rPr>
                    <w:rFonts w:ascii="等线"/>
                    <w:sz w:val="18"/>
                  </w:rPr>
                  <w:instrText xml:space="preserve"> PAGE </w:instrText>
                </w:r>
                <w:r>
                  <w:fldChar w:fldCharType="separate"/>
                </w:r>
                <w:r>
                  <w:t>1</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0" w:line="14" w:lineRule="auto"/>
      <w:ind w:left="0" w:right="0" w:firstLine="0"/>
      <w:rPr>
        <w:sz w:val="20"/>
      </w:rPr>
    </w:pPr>
    <w:r>
      <w:drawing>
        <wp:anchor distT="0" distB="0" distL="0" distR="0" simplePos="0" relativeHeight="251659264" behindDoc="1" locked="0" layoutInCell="1" allowOverlap="1">
          <wp:simplePos x="0" y="0"/>
          <wp:positionH relativeFrom="page">
            <wp:posOffset>720090</wp:posOffset>
          </wp:positionH>
          <wp:positionV relativeFrom="page">
            <wp:posOffset>359410</wp:posOffset>
          </wp:positionV>
          <wp:extent cx="2127250" cy="31115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1" cstate="print"/>
                  <a:stretch>
                    <a:fillRect/>
                  </a:stretch>
                </pic:blipFill>
                <pic:spPr>
                  <a:xfrm>
                    <a:off x="0" y="0"/>
                    <a:ext cx="2127250" cy="311150"/>
                  </a:xfrm>
                  <a:prstGeom prst="rect">
                    <a:avLst/>
                  </a:prstGeom>
                </pic:spPr>
              </pic:pic>
            </a:graphicData>
          </a:graphic>
        </wp:anchor>
      </w:drawing>
    </w:r>
    <w:r>
      <w:pict>
        <v:line id="_x0000_s4097" o:spid="_x0000_s4097" o:spt="20" style="position:absolute;left:0pt;margin-left:55.2pt;margin-top:54.1pt;height:0pt;width:484.5pt;mso-position-horizontal-relative:page;mso-position-vertical-relative:page;z-index:-251656192;mso-width-relative:page;mso-height-relative:page;" stroked="t" coordsize="21600,21600">
          <v:path arrowok="t"/>
          <v:fill focussize="0,0"/>
          <v:stroke weight="0.72pt" color="#000000"/>
          <v:imagedata o:title=""/>
          <o:lock v:ext="edit"/>
        </v:lin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48C179"/>
    <w:multiLevelType w:val="multilevel"/>
    <w:tmpl w:val="0248C179"/>
    <w:lvl w:ilvl="0" w:tentative="0">
      <w:start w:val="1"/>
      <w:numFmt w:val="decimal"/>
      <w:lvlText w:val="%1."/>
      <w:lvlJc w:val="left"/>
      <w:pPr>
        <w:ind w:left="694" w:hanging="442"/>
        <w:jc w:val="left"/>
      </w:pPr>
      <w:rPr>
        <w:rFonts w:hint="default" w:ascii="仿宋" w:hAnsi="仿宋" w:eastAsia="仿宋" w:cs="仿宋"/>
        <w:w w:val="100"/>
        <w:sz w:val="22"/>
        <w:szCs w:val="22"/>
        <w:lang w:val="zh-CN" w:eastAsia="zh-CN" w:bidi="zh-CN"/>
      </w:rPr>
    </w:lvl>
    <w:lvl w:ilvl="1" w:tentative="0">
      <w:start w:val="1"/>
      <w:numFmt w:val="decimal"/>
      <w:lvlText w:val="%2."/>
      <w:lvlJc w:val="left"/>
      <w:pPr>
        <w:ind w:left="1093" w:hanging="420"/>
        <w:jc w:val="left"/>
      </w:pPr>
      <w:rPr>
        <w:rFonts w:hint="default" w:ascii="仿宋" w:hAnsi="仿宋" w:eastAsia="仿宋" w:cs="仿宋"/>
        <w:w w:val="100"/>
        <w:sz w:val="21"/>
        <w:szCs w:val="21"/>
        <w:lang w:val="zh-CN" w:eastAsia="zh-CN" w:bidi="zh-CN"/>
      </w:rPr>
    </w:lvl>
    <w:lvl w:ilvl="2" w:tentative="0">
      <w:start w:val="0"/>
      <w:numFmt w:val="bullet"/>
      <w:lvlText w:val="•"/>
      <w:lvlJc w:val="left"/>
      <w:pPr>
        <w:ind w:left="2137" w:hanging="420"/>
      </w:pPr>
      <w:rPr>
        <w:rFonts w:hint="default"/>
        <w:lang w:val="zh-CN" w:eastAsia="zh-CN" w:bidi="zh-CN"/>
      </w:rPr>
    </w:lvl>
    <w:lvl w:ilvl="3" w:tentative="0">
      <w:start w:val="0"/>
      <w:numFmt w:val="bullet"/>
      <w:lvlText w:val="•"/>
      <w:lvlJc w:val="left"/>
      <w:pPr>
        <w:ind w:left="3175" w:hanging="420"/>
      </w:pPr>
      <w:rPr>
        <w:rFonts w:hint="default"/>
        <w:lang w:val="zh-CN" w:eastAsia="zh-CN" w:bidi="zh-CN"/>
      </w:rPr>
    </w:lvl>
    <w:lvl w:ilvl="4" w:tentative="0">
      <w:start w:val="0"/>
      <w:numFmt w:val="bullet"/>
      <w:lvlText w:val="•"/>
      <w:lvlJc w:val="left"/>
      <w:pPr>
        <w:ind w:left="4213" w:hanging="420"/>
      </w:pPr>
      <w:rPr>
        <w:rFonts w:hint="default"/>
        <w:lang w:val="zh-CN" w:eastAsia="zh-CN" w:bidi="zh-CN"/>
      </w:rPr>
    </w:lvl>
    <w:lvl w:ilvl="5" w:tentative="0">
      <w:start w:val="0"/>
      <w:numFmt w:val="bullet"/>
      <w:lvlText w:val="•"/>
      <w:lvlJc w:val="left"/>
      <w:pPr>
        <w:ind w:left="5250" w:hanging="420"/>
      </w:pPr>
      <w:rPr>
        <w:rFonts w:hint="default"/>
        <w:lang w:val="zh-CN" w:eastAsia="zh-CN" w:bidi="zh-CN"/>
      </w:rPr>
    </w:lvl>
    <w:lvl w:ilvl="6" w:tentative="0">
      <w:start w:val="0"/>
      <w:numFmt w:val="bullet"/>
      <w:lvlText w:val="•"/>
      <w:lvlJc w:val="left"/>
      <w:pPr>
        <w:ind w:left="6288" w:hanging="420"/>
      </w:pPr>
      <w:rPr>
        <w:rFonts w:hint="default"/>
        <w:lang w:val="zh-CN" w:eastAsia="zh-CN" w:bidi="zh-CN"/>
      </w:rPr>
    </w:lvl>
    <w:lvl w:ilvl="7" w:tentative="0">
      <w:start w:val="0"/>
      <w:numFmt w:val="bullet"/>
      <w:lvlText w:val="•"/>
      <w:lvlJc w:val="left"/>
      <w:pPr>
        <w:ind w:left="7326" w:hanging="420"/>
      </w:pPr>
      <w:rPr>
        <w:rFonts w:hint="default"/>
        <w:lang w:val="zh-CN" w:eastAsia="zh-CN" w:bidi="zh-CN"/>
      </w:rPr>
    </w:lvl>
    <w:lvl w:ilvl="8" w:tentative="0">
      <w:start w:val="0"/>
      <w:numFmt w:val="bullet"/>
      <w:lvlText w:val="•"/>
      <w:lvlJc w:val="left"/>
      <w:pPr>
        <w:ind w:left="8363" w:hanging="420"/>
      </w:pPr>
      <w:rPr>
        <w:rFonts w:hint="default"/>
        <w:lang w:val="zh-CN" w:eastAsia="zh-CN" w:bidi="zh-C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trackRevisions w:val="1"/>
  <w:documentProtection w:enforcement="0"/>
  <w:defaultTabStop w:val="720"/>
  <w:drawingGridHorizontalSpacing w:val="110"/>
  <w:displayHorizontalDrawingGridEvery w:val="2"/>
  <w:characterSpacingControl w:val="doNotCompress"/>
  <w:hdrShapeDefaults>
    <o:shapelayout v:ext="edit">
      <o:idmap v:ext="edit" data="3,4"/>
    </o:shapelayout>
  </w:hdrShapeDefaults>
  <w:footnotePr>
    <w:footnote w:id="0"/>
    <w:footnote w:id="1"/>
  </w:footnotePr>
  <w:endnotePr>
    <w:endnote w:id="0"/>
    <w:endnote w:id="1"/>
  </w:endnotePr>
  <w:compat>
    <w:ulTrailSpace/>
    <w:shapeLayoutLikeWW8/>
    <w:useFELayout/>
    <w:compatSetting w:name="compatibilityMode" w:uri="http://schemas.microsoft.com/office/word" w:val="12"/>
  </w:compat>
  <w:docVars>
    <w:docVar w:name="commondata" w:val="eyJoZGlkIjoiZGI0OGYxZTk3MzI1NGQ2ZDdkMTZjYWRmYTljN2U5NDIifQ=="/>
  </w:docVars>
  <w:rsids>
    <w:rsidRoot w:val="00000000"/>
    <w:rsid w:val="00C50B26"/>
    <w:rsid w:val="00EA058C"/>
    <w:rsid w:val="02B60E68"/>
    <w:rsid w:val="04BB3225"/>
    <w:rsid w:val="051F457C"/>
    <w:rsid w:val="066C4986"/>
    <w:rsid w:val="067E1BC4"/>
    <w:rsid w:val="06B6374F"/>
    <w:rsid w:val="074D53D1"/>
    <w:rsid w:val="077C5CB6"/>
    <w:rsid w:val="07921036"/>
    <w:rsid w:val="089332B7"/>
    <w:rsid w:val="08B84ACC"/>
    <w:rsid w:val="08C64212"/>
    <w:rsid w:val="09502F56"/>
    <w:rsid w:val="099301A9"/>
    <w:rsid w:val="09CA108C"/>
    <w:rsid w:val="09E3201C"/>
    <w:rsid w:val="09E55D95"/>
    <w:rsid w:val="0A256191"/>
    <w:rsid w:val="0BDE0CED"/>
    <w:rsid w:val="0C432049"/>
    <w:rsid w:val="0E1F02DD"/>
    <w:rsid w:val="0EB23F58"/>
    <w:rsid w:val="0F87169C"/>
    <w:rsid w:val="10AE3B53"/>
    <w:rsid w:val="10CD30DE"/>
    <w:rsid w:val="112741A3"/>
    <w:rsid w:val="116F6089"/>
    <w:rsid w:val="12620F04"/>
    <w:rsid w:val="128607D9"/>
    <w:rsid w:val="12867DE2"/>
    <w:rsid w:val="154A0300"/>
    <w:rsid w:val="15AD6EF0"/>
    <w:rsid w:val="160168C0"/>
    <w:rsid w:val="1642631D"/>
    <w:rsid w:val="17D42FA4"/>
    <w:rsid w:val="1AB07CF9"/>
    <w:rsid w:val="1D3079A1"/>
    <w:rsid w:val="1D750D86"/>
    <w:rsid w:val="1DD91315"/>
    <w:rsid w:val="1E312EFF"/>
    <w:rsid w:val="1EF1268E"/>
    <w:rsid w:val="1F6A66BB"/>
    <w:rsid w:val="20E65AD0"/>
    <w:rsid w:val="20F16975"/>
    <w:rsid w:val="21316869"/>
    <w:rsid w:val="21CF4374"/>
    <w:rsid w:val="21D5747D"/>
    <w:rsid w:val="22B6428A"/>
    <w:rsid w:val="237B241F"/>
    <w:rsid w:val="23F46EA8"/>
    <w:rsid w:val="247E2C16"/>
    <w:rsid w:val="24AF1021"/>
    <w:rsid w:val="256C09E3"/>
    <w:rsid w:val="25AA5AFE"/>
    <w:rsid w:val="26084E8D"/>
    <w:rsid w:val="27083CF2"/>
    <w:rsid w:val="274F43F6"/>
    <w:rsid w:val="278E2AD2"/>
    <w:rsid w:val="27AF728B"/>
    <w:rsid w:val="27C46B92"/>
    <w:rsid w:val="28D5494D"/>
    <w:rsid w:val="2AC60E73"/>
    <w:rsid w:val="2E625AA1"/>
    <w:rsid w:val="2F2B69FD"/>
    <w:rsid w:val="2F4405B8"/>
    <w:rsid w:val="2F591A6E"/>
    <w:rsid w:val="2F9B0B20"/>
    <w:rsid w:val="2FC75471"/>
    <w:rsid w:val="30006BD5"/>
    <w:rsid w:val="30474EA7"/>
    <w:rsid w:val="3183186B"/>
    <w:rsid w:val="31C75BFC"/>
    <w:rsid w:val="33352E30"/>
    <w:rsid w:val="33480F8C"/>
    <w:rsid w:val="33D77C4D"/>
    <w:rsid w:val="35AC16CA"/>
    <w:rsid w:val="36D313DF"/>
    <w:rsid w:val="37384EA6"/>
    <w:rsid w:val="3765585A"/>
    <w:rsid w:val="384A6C3F"/>
    <w:rsid w:val="391A1DDF"/>
    <w:rsid w:val="393434C5"/>
    <w:rsid w:val="394826C9"/>
    <w:rsid w:val="3A571AE7"/>
    <w:rsid w:val="3AA765CB"/>
    <w:rsid w:val="3AAA60BB"/>
    <w:rsid w:val="3ABE5990"/>
    <w:rsid w:val="3BC57045"/>
    <w:rsid w:val="3DB47FA6"/>
    <w:rsid w:val="3DDE4FF9"/>
    <w:rsid w:val="3E3A7756"/>
    <w:rsid w:val="3F56482E"/>
    <w:rsid w:val="3FCF2120"/>
    <w:rsid w:val="3FE931E1"/>
    <w:rsid w:val="405F16F6"/>
    <w:rsid w:val="40D91F60"/>
    <w:rsid w:val="410E0B96"/>
    <w:rsid w:val="412A7CAE"/>
    <w:rsid w:val="423D767B"/>
    <w:rsid w:val="42E23DAB"/>
    <w:rsid w:val="43016A94"/>
    <w:rsid w:val="43615785"/>
    <w:rsid w:val="4400250C"/>
    <w:rsid w:val="44010D9C"/>
    <w:rsid w:val="455A0B36"/>
    <w:rsid w:val="480D113A"/>
    <w:rsid w:val="49780385"/>
    <w:rsid w:val="49DE52FE"/>
    <w:rsid w:val="4AF173EE"/>
    <w:rsid w:val="4AF632B3"/>
    <w:rsid w:val="4C15626E"/>
    <w:rsid w:val="4C1A4723"/>
    <w:rsid w:val="4C6360CA"/>
    <w:rsid w:val="4D786E26"/>
    <w:rsid w:val="4D7D140D"/>
    <w:rsid w:val="4E3A0B78"/>
    <w:rsid w:val="4EF525A6"/>
    <w:rsid w:val="4F42290E"/>
    <w:rsid w:val="4F647ED3"/>
    <w:rsid w:val="4F6A776F"/>
    <w:rsid w:val="4F9F1B0F"/>
    <w:rsid w:val="501D5002"/>
    <w:rsid w:val="501F67AB"/>
    <w:rsid w:val="507C3BFE"/>
    <w:rsid w:val="50E534FD"/>
    <w:rsid w:val="52196F97"/>
    <w:rsid w:val="527A416D"/>
    <w:rsid w:val="52E44843"/>
    <w:rsid w:val="53F8359B"/>
    <w:rsid w:val="54992FD0"/>
    <w:rsid w:val="54B1300C"/>
    <w:rsid w:val="5516017D"/>
    <w:rsid w:val="56F269C8"/>
    <w:rsid w:val="58682AE9"/>
    <w:rsid w:val="591F2183"/>
    <w:rsid w:val="5B4751AF"/>
    <w:rsid w:val="5D1162AE"/>
    <w:rsid w:val="5F1576F7"/>
    <w:rsid w:val="5F434264"/>
    <w:rsid w:val="606326E4"/>
    <w:rsid w:val="609E572A"/>
    <w:rsid w:val="61DC274E"/>
    <w:rsid w:val="6207469A"/>
    <w:rsid w:val="628C5D0B"/>
    <w:rsid w:val="62E96ED1"/>
    <w:rsid w:val="642D776B"/>
    <w:rsid w:val="64942BB5"/>
    <w:rsid w:val="65556AA0"/>
    <w:rsid w:val="66990C0E"/>
    <w:rsid w:val="66F707AC"/>
    <w:rsid w:val="67321104"/>
    <w:rsid w:val="67ED1A46"/>
    <w:rsid w:val="67FE672E"/>
    <w:rsid w:val="6836341E"/>
    <w:rsid w:val="685F7C35"/>
    <w:rsid w:val="68F34F9B"/>
    <w:rsid w:val="69117181"/>
    <w:rsid w:val="6A363CAB"/>
    <w:rsid w:val="6AE34B4E"/>
    <w:rsid w:val="6CCF5389"/>
    <w:rsid w:val="6D4D71CD"/>
    <w:rsid w:val="6DC742B3"/>
    <w:rsid w:val="6E421B8B"/>
    <w:rsid w:val="711919C0"/>
    <w:rsid w:val="71CD06B2"/>
    <w:rsid w:val="7249798C"/>
    <w:rsid w:val="72C2329A"/>
    <w:rsid w:val="73A52BF2"/>
    <w:rsid w:val="73C53A4C"/>
    <w:rsid w:val="73CF138F"/>
    <w:rsid w:val="73DE1B3F"/>
    <w:rsid w:val="74590478"/>
    <w:rsid w:val="75284D41"/>
    <w:rsid w:val="75834293"/>
    <w:rsid w:val="75FA2462"/>
    <w:rsid w:val="760A1F89"/>
    <w:rsid w:val="762732A3"/>
    <w:rsid w:val="76F346C7"/>
    <w:rsid w:val="77512E3F"/>
    <w:rsid w:val="781F0FCF"/>
    <w:rsid w:val="7BCD5C76"/>
    <w:rsid w:val="7C163E0D"/>
    <w:rsid w:val="7C4F2043"/>
    <w:rsid w:val="7C80044E"/>
    <w:rsid w:val="7CD8164C"/>
    <w:rsid w:val="7D9B13BC"/>
    <w:rsid w:val="7E926217"/>
    <w:rsid w:val="7F594F87"/>
    <w:rsid w:val="7FAC330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qFormat/>
    <w:uiPriority w:val="1"/>
    <w:pPr>
      <w:spacing w:before="76"/>
      <w:ind w:left="694" w:hanging="442"/>
      <w:outlineLvl w:val="1"/>
    </w:pPr>
    <w:rPr>
      <w:rFonts w:ascii="仿宋" w:hAnsi="仿宋" w:eastAsia="仿宋" w:cs="仿宋"/>
      <w:b/>
      <w:bCs/>
      <w:sz w:val="22"/>
      <w:szCs w:val="22"/>
      <w:lang w:val="zh-CN" w:eastAsia="zh-CN" w:bidi="zh-CN"/>
    </w:rPr>
  </w:style>
  <w:style w:type="paragraph" w:styleId="3">
    <w:name w:val="heading 2"/>
    <w:basedOn w:val="1"/>
    <w:next w:val="1"/>
    <w:qFormat/>
    <w:uiPriority w:val="1"/>
    <w:pPr>
      <w:ind w:left="253"/>
      <w:outlineLvl w:val="2"/>
    </w:pPr>
    <w:rPr>
      <w:rFonts w:ascii="仿宋" w:hAnsi="仿宋" w:eastAsia="仿宋" w:cs="仿宋"/>
      <w:b/>
      <w:bCs/>
      <w:sz w:val="21"/>
      <w:szCs w:val="21"/>
      <w:lang w:val="zh-CN" w:eastAsia="zh-CN" w:bidi="zh-CN"/>
    </w:rPr>
  </w:style>
  <w:style w:type="character" w:default="1" w:styleId="7">
    <w:name w:val="Default Paragraph Font"/>
    <w:semiHidden/>
    <w:unhideWhenUsed/>
    <w:qFormat/>
    <w:uiPriority w:val="1"/>
  </w:style>
  <w:style w:type="table" w:default="1" w:styleId="6">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spacing w:before="2"/>
      <w:ind w:left="253" w:right="546" w:firstLine="422"/>
    </w:pPr>
    <w:rPr>
      <w:rFonts w:ascii="仿宋" w:hAnsi="仿宋" w:eastAsia="仿宋" w:cs="仿宋"/>
      <w:sz w:val="21"/>
      <w:szCs w:val="21"/>
      <w:lang w:val="zh-CN" w:eastAsia="zh-CN" w:bidi="zh-CN"/>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table" w:customStyle="1" w:styleId="9">
    <w:name w:val="Table Normal"/>
    <w:semiHidden/>
    <w:unhideWhenUsed/>
    <w:qFormat/>
    <w:uiPriority w:val="2"/>
    <w:tblPr>
      <w:tblCellMar>
        <w:top w:w="0" w:type="dxa"/>
        <w:left w:w="0" w:type="dxa"/>
        <w:bottom w:w="0" w:type="dxa"/>
        <w:right w:w="0" w:type="dxa"/>
      </w:tblCellMar>
    </w:tblPr>
  </w:style>
  <w:style w:type="paragraph" w:styleId="10">
    <w:name w:val="List Paragraph"/>
    <w:basedOn w:val="1"/>
    <w:qFormat/>
    <w:uiPriority w:val="1"/>
    <w:pPr>
      <w:spacing w:before="91"/>
      <w:ind w:left="1093" w:hanging="421"/>
    </w:pPr>
    <w:rPr>
      <w:rFonts w:ascii="仿宋" w:hAnsi="仿宋" w:eastAsia="仿宋" w:cs="仿宋"/>
      <w:lang w:val="zh-CN" w:eastAsia="zh-CN" w:bidi="zh-CN"/>
    </w:rPr>
  </w:style>
  <w:style w:type="paragraph" w:customStyle="1" w:styleId="11">
    <w:name w:val="Table Paragraph"/>
    <w:basedOn w:val="1"/>
    <w:qFormat/>
    <w:uiPriority w:val="1"/>
    <w:pPr>
      <w:spacing w:before="44"/>
      <w:ind w:left="86"/>
    </w:pPr>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Info spid="_x0000_s4103"/>
    <customShpInfo spid="_x0000_s4099"/>
    <customShpInfo spid="_x0000_s4100"/>
    <customShpInfo spid="_x0000_s4098"/>
    <customShpInfo spid="_x0000_s4101"/>
    <customShpInfo spid="_x0000_s410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10220</Words>
  <Characters>10298</Characters>
  <TotalTime>107</TotalTime>
  <ScaleCrop>false</ScaleCrop>
  <LinksUpToDate>false</LinksUpToDate>
  <CharactersWithSpaces>10312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2021-10-20T01:34:00Z</dcterms:created>
  <dc:creator>Microsoft Office User</dc:creator>
  <cp:lastModifiedBy>szm</cp:lastModifiedBy>
  <dcterms:modified xsi:type="dcterms:W3CDTF">2023-03-16T06:37:28Z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2021-07-20T00:00:00Z</vt:filetime>
  </property>
  <property fmtid="{D5CDD505-2E9C-101B-9397-08002B2CF9AE}" pid="3" name="Creator">
    <vt:lpwstr>Microsoft® Word 2019</vt:lpwstr>
  </property>
  <property fmtid="{D5CDD505-2E9C-101B-9397-08002B2CF9AE}" pid="4" name="LastSaved">
    <vt:filetime>2021-10-20T00:00:00Z</vt:filetime>
  </property>
  <property fmtid="{D5CDD505-2E9C-101B-9397-08002B2CF9AE}" pid="5" name="KSOProductBuildVer">
    <vt:lpwstr>2052-11.1.0.13703</vt:lpwstr>
  </property>
  <property fmtid="{D5CDD505-2E9C-101B-9397-08002B2CF9AE}" pid="6" name="ICV">
    <vt:lpwstr>95A7AC03E4324605833322A41FE9E09C</vt:lpwstr>
  </property>
</Properties>
</file>