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50"/>
        <w:ind w:left="2176" w:right="2401" w:firstLine="0"/>
        <w:jc w:val="center"/>
        <w:rPr>
          <w:b/>
          <w:sz w:val="32"/>
        </w:rPr>
      </w:pPr>
      <w:bookmarkStart w:id="0" w:name="_GoBack"/>
      <w:bookmarkEnd w:id="0"/>
      <w:r>
        <w:rPr>
          <w:b/>
          <w:sz w:val="32"/>
        </w:rPr>
        <w:t>广发证券深市港股通业务客户委托协议</w:t>
      </w:r>
    </w:p>
    <w:p>
      <w:pPr>
        <w:pStyle w:val="2"/>
        <w:tabs>
          <w:tab w:val="left" w:pos="9436"/>
        </w:tabs>
        <w:spacing w:before="152" w:line="321" w:lineRule="auto"/>
        <w:ind w:right="638"/>
        <w:rPr>
          <w:rFonts w:ascii="Times New Roman" w:eastAsia="Times New Roman"/>
        </w:rPr>
      </w:pPr>
      <w:r>
        <w:t>甲方：</w:t>
      </w:r>
      <w:r>
        <w:rPr>
          <w:rFonts w:ascii="Times New Roman" w:eastAsia="Times New Roman"/>
          <w:w w:val="100"/>
          <w:u w:val="single"/>
        </w:rPr>
        <w:t xml:space="preserve"> </w:t>
      </w:r>
      <w:r>
        <w:rPr>
          <w:rFonts w:ascii="Times New Roman" w:eastAsia="Times New Roman"/>
          <w:u w:val="single"/>
        </w:rPr>
        <w:tab/>
      </w:r>
      <w:r>
        <w:rPr>
          <w:rFonts w:ascii="Times New Roman" w:eastAsia="Times New Roman"/>
          <w:u w:val="single"/>
        </w:rPr>
        <w:t xml:space="preserve">                                                                                 </w:t>
      </w:r>
      <w:r>
        <w:t>有效证件（营业执</w:t>
      </w:r>
      <w:r>
        <w:rPr>
          <w:spacing w:val="-3"/>
        </w:rPr>
        <w:t>照</w:t>
      </w:r>
      <w:r>
        <w:t>或</w:t>
      </w:r>
      <w:r>
        <w:rPr>
          <w:spacing w:val="-3"/>
        </w:rPr>
        <w:t>身</w:t>
      </w:r>
      <w:r>
        <w:t>份证）号码：</w:t>
      </w:r>
      <w:r>
        <w:rPr>
          <w:rFonts w:ascii="Times New Roman" w:eastAsia="Times New Roman"/>
          <w:w w:val="100"/>
          <w:u w:val="single"/>
        </w:rPr>
        <w:t xml:space="preserve"> </w:t>
      </w:r>
      <w:r>
        <w:rPr>
          <w:rFonts w:ascii="Times New Roman" w:eastAsia="Times New Roman"/>
          <w:u w:val="single"/>
        </w:rPr>
        <w:tab/>
      </w:r>
    </w:p>
    <w:p>
      <w:pPr>
        <w:pStyle w:val="3"/>
        <w:spacing w:before="2"/>
        <w:ind w:left="0" w:right="0" w:firstLine="0"/>
        <w:rPr>
          <w:rFonts w:ascii="Times New Roman"/>
          <w:b/>
          <w:sz w:val="24"/>
        </w:rPr>
      </w:pPr>
    </w:p>
    <w:p>
      <w:pPr>
        <w:tabs>
          <w:tab w:val="left" w:pos="8865"/>
        </w:tabs>
        <w:spacing w:before="78"/>
        <w:ind w:left="113" w:right="0" w:firstLine="0"/>
        <w:jc w:val="left"/>
        <w:rPr>
          <w:b/>
          <w:sz w:val="21"/>
        </w:rPr>
      </w:pPr>
      <w:r>
        <w:rPr>
          <w:b/>
          <w:sz w:val="21"/>
        </w:rPr>
        <w:t>乙方：广发证券股</w:t>
      </w:r>
      <w:r>
        <w:rPr>
          <w:b/>
          <w:spacing w:val="-3"/>
          <w:sz w:val="21"/>
        </w:rPr>
        <w:t>份</w:t>
      </w:r>
      <w:r>
        <w:rPr>
          <w:b/>
          <w:sz w:val="21"/>
        </w:rPr>
        <w:t>有</w:t>
      </w:r>
      <w:r>
        <w:rPr>
          <w:b/>
          <w:spacing w:val="-3"/>
          <w:sz w:val="21"/>
        </w:rPr>
        <w:t>限</w:t>
      </w:r>
      <w:r>
        <w:rPr>
          <w:b/>
          <w:sz w:val="21"/>
        </w:rPr>
        <w:t>公司</w:t>
      </w:r>
      <w:r>
        <w:rPr>
          <w:b/>
          <w:sz w:val="21"/>
          <w:u w:val="single"/>
        </w:rPr>
        <w:t xml:space="preserve"> </w:t>
      </w:r>
      <w:r>
        <w:rPr>
          <w:b/>
          <w:sz w:val="21"/>
          <w:u w:val="single"/>
        </w:rPr>
        <w:tab/>
      </w:r>
      <w:r>
        <w:rPr>
          <w:b/>
          <w:sz w:val="21"/>
        </w:rPr>
        <w:t>营</w:t>
      </w:r>
      <w:r>
        <w:rPr>
          <w:b/>
          <w:spacing w:val="-3"/>
          <w:sz w:val="21"/>
        </w:rPr>
        <w:t>业</w:t>
      </w:r>
      <w:r>
        <w:rPr>
          <w:b/>
          <w:sz w:val="21"/>
        </w:rPr>
        <w:t>部</w:t>
      </w:r>
    </w:p>
    <w:p>
      <w:pPr>
        <w:pStyle w:val="3"/>
        <w:spacing w:before="1"/>
        <w:ind w:left="0" w:right="0" w:firstLine="0"/>
        <w:rPr>
          <w:b/>
          <w:sz w:val="26"/>
        </w:rPr>
      </w:pPr>
    </w:p>
    <w:p>
      <w:pPr>
        <w:pStyle w:val="3"/>
        <w:spacing w:before="71" w:line="278" w:lineRule="auto"/>
        <w:ind w:firstLine="420"/>
        <w:jc w:val="both"/>
      </w:pPr>
      <w:r>
        <w:rPr>
          <w:spacing w:val="-9"/>
        </w:rPr>
        <w:t>为了规范甲乙双方开展深市港股通</w:t>
      </w:r>
      <w:r>
        <w:rPr>
          <w:spacing w:val="-3"/>
        </w:rPr>
        <w:t>（</w:t>
      </w:r>
      <w:r>
        <w:rPr>
          <w:spacing w:val="-24"/>
        </w:rPr>
        <w:t>以下简称“港股通”</w:t>
      </w:r>
      <w:r>
        <w:rPr>
          <w:spacing w:val="-97"/>
        </w:rPr>
        <w:t>）</w:t>
      </w:r>
      <w:r>
        <w:rPr>
          <w:spacing w:val="-11"/>
        </w:rPr>
        <w:t>交易，明确甲乙双方在港股通交易中的权利、</w:t>
      </w:r>
      <w:r>
        <w:rPr>
          <w:spacing w:val="-24"/>
        </w:rPr>
        <w:t>义务关系，依照《中华人民共和国证券法》、《中华人民共和国民法典》、《中华人民共和国电子签名法》等</w:t>
      </w:r>
      <w:r>
        <w:rPr>
          <w:spacing w:val="-15"/>
        </w:rPr>
        <w:t>法律、行政法规，中国证监会《内地与香港股票市场交易互联互通机制若干规定》、《深圳证券交易所深港</w:t>
      </w:r>
      <w:r>
        <w:rPr>
          <w:spacing w:val="-10"/>
        </w:rPr>
        <w:t>通业务实施办法》及深圳证券交易所</w:t>
      </w:r>
      <w:r>
        <w:rPr>
          <w:spacing w:val="-3"/>
        </w:rPr>
        <w:t>（</w:t>
      </w:r>
      <w:r>
        <w:rPr>
          <w:spacing w:val="-13"/>
        </w:rPr>
        <w:t>以下简称“深交所”</w:t>
      </w:r>
      <w:r>
        <w:rPr>
          <w:spacing w:val="-66"/>
        </w:rPr>
        <w:t>）</w:t>
      </w:r>
      <w:r>
        <w:rPr>
          <w:spacing w:val="-7"/>
        </w:rPr>
        <w:t>其他相关业务规则，甲乙双方在平等自愿、诚</w:t>
      </w:r>
      <w:r>
        <w:rPr>
          <w:spacing w:val="-5"/>
        </w:rPr>
        <w:t>实信用的基础上，就甲方委托乙方从事港股通交易及其他相关事宜达成如下协议，供双方共同遵守。</w:t>
      </w:r>
    </w:p>
    <w:p>
      <w:pPr>
        <w:pStyle w:val="3"/>
        <w:spacing w:before="5" w:line="280" w:lineRule="auto"/>
        <w:ind w:firstLine="420"/>
        <w:jc w:val="both"/>
        <w:rPr>
          <w:spacing w:val="-5"/>
        </w:rPr>
      </w:pPr>
      <w:r>
        <w:rPr>
          <w:spacing w:val="-4"/>
        </w:rPr>
        <w:t>甲方签署本协议仅可委托乙方通过深港通下的港股通买卖港股通</w:t>
      </w:r>
      <w:r>
        <w:rPr>
          <w:rFonts w:hint="eastAsia"/>
          <w:spacing w:val="-4"/>
        </w:rPr>
        <w:t>标的证券（含股票、股票ETF及监管批准、认可的其他投资标的，以下简称“证券”）</w:t>
      </w:r>
      <w:r>
        <w:rPr>
          <w:spacing w:val="-4"/>
        </w:rPr>
        <w:t>。甲方通过深港通下的港股通买</w:t>
      </w:r>
      <w:r>
        <w:rPr>
          <w:spacing w:val="-7"/>
        </w:rPr>
        <w:t>入的证券，暂不能通过沪港通下的港股通卖出；甲方通过沪港通下的港股通买入的证券，暂不能通过深港</w:t>
      </w:r>
      <w:r>
        <w:rPr>
          <w:spacing w:val="-5"/>
        </w:rPr>
        <w:t>通下的港股通卖出。</w:t>
      </w:r>
    </w:p>
    <w:p>
      <w:pPr>
        <w:pStyle w:val="3"/>
        <w:spacing w:before="5" w:line="280" w:lineRule="auto"/>
        <w:ind w:firstLine="420"/>
        <w:jc w:val="both"/>
        <w:rPr>
          <w:spacing w:val="-5"/>
        </w:rPr>
      </w:pPr>
    </w:p>
    <w:p>
      <w:pPr>
        <w:pStyle w:val="3"/>
        <w:spacing w:before="5" w:line="280" w:lineRule="auto"/>
        <w:ind w:firstLine="420"/>
        <w:jc w:val="both"/>
        <w:rPr>
          <w:rFonts w:hint="eastAsia"/>
          <w:b/>
          <w:bCs/>
          <w:spacing w:val="-5"/>
        </w:rPr>
      </w:pPr>
      <w:r>
        <w:rPr>
          <w:rFonts w:hint="eastAsia"/>
          <w:b/>
          <w:bCs/>
          <w:spacing w:val="-5"/>
        </w:rPr>
        <w:t>乙方会根据监管机构要求处理您的个人身份信息，以及港股通业务法律法规所规定的信息，按照中国证券登记结算有限公司、</w:t>
      </w:r>
      <w:r>
        <w:rPr>
          <w:rFonts w:hint="eastAsia"/>
          <w:b/>
          <w:bCs/>
          <w:spacing w:val="-5"/>
          <w:lang w:eastAsia="zh-CN"/>
        </w:rPr>
        <w:t>深圳</w:t>
      </w:r>
      <w:r>
        <w:rPr>
          <w:rFonts w:hint="eastAsia"/>
          <w:b/>
          <w:bCs/>
          <w:spacing w:val="-5"/>
        </w:rPr>
        <w:t>交易所、香港交易所、三方存管银行等相关机构要求，将甲方填写的个人身份信息、个人基本信息或银行卡信息报送至以上机构，以便根据甲方的申请为甲方办理港股通业务。乙方仅报送相关机构所需要的必须信息，且只用于相关业务办理。如果甲方不提供上述信息或实名验证未通过，则无法在乙方办理港股通业务。这些用户数据经加密传输后，加密存储在乙方系统服务器上。除非甲方自主选择或遵从相关法律法规要求，乙方不会对外提供上述信息，也不会将其用于该功能以外的其他用途。</w:t>
      </w:r>
    </w:p>
    <w:p>
      <w:pPr>
        <w:pStyle w:val="3"/>
        <w:spacing w:before="5" w:line="280" w:lineRule="auto"/>
        <w:ind w:firstLine="420"/>
        <w:jc w:val="both"/>
        <w:rPr>
          <w:rFonts w:hint="eastAsia"/>
          <w:spacing w:val="-5"/>
        </w:rPr>
      </w:pPr>
    </w:p>
    <w:p>
      <w:pPr>
        <w:pStyle w:val="2"/>
        <w:spacing w:line="266" w:lineRule="exact"/>
        <w:ind w:left="3980"/>
        <w:jc w:val="both"/>
      </w:pPr>
      <w:r>
        <w:t>第一章 释义与定义</w:t>
      </w:r>
    </w:p>
    <w:p>
      <w:pPr>
        <w:pStyle w:val="3"/>
        <w:spacing w:before="43"/>
        <w:ind w:left="535" w:right="0" w:firstLine="0"/>
        <w:jc w:val="both"/>
      </w:pPr>
      <w:r>
        <w:rPr>
          <w:b/>
        </w:rPr>
        <w:t xml:space="preserve">第一条 </w:t>
      </w:r>
      <w:r>
        <w:t>在协议中，除非本协议另有解释或说明,下列词语或简称具有如下含义：</w:t>
      </w:r>
    </w:p>
    <w:p>
      <w:pPr>
        <w:pStyle w:val="3"/>
        <w:spacing w:before="45" w:line="278" w:lineRule="auto"/>
        <w:jc w:val="both"/>
      </w:pPr>
      <w:r>
        <w:rPr>
          <w:b/>
        </w:rPr>
        <w:t>（一</w:t>
      </w:r>
      <w:r>
        <w:rPr>
          <w:b/>
          <w:spacing w:val="-10"/>
        </w:rPr>
        <w:t>）</w:t>
      </w:r>
      <w:r>
        <w:rPr>
          <w:b/>
          <w:spacing w:val="-3"/>
        </w:rPr>
        <w:t>港股通：</w:t>
      </w:r>
      <w:r>
        <w:rPr>
          <w:spacing w:val="-5"/>
        </w:rPr>
        <w:t>指投资者委托内地证券公司，经由深圳证券交易所设立的证券交易服务公司</w:t>
      </w:r>
      <w:r>
        <w:t>（</w:t>
      </w:r>
      <w:r>
        <w:rPr>
          <w:spacing w:val="-2"/>
        </w:rPr>
        <w:t>以下简</w:t>
      </w:r>
      <w:r>
        <w:rPr>
          <w:spacing w:val="-12"/>
        </w:rPr>
        <w:t>称“深交所证券交易服务公司”</w:t>
      </w:r>
      <w:r>
        <w:rPr>
          <w:spacing w:val="-80"/>
        </w:rPr>
        <w:t>）</w:t>
      </w:r>
      <w:r>
        <w:rPr>
          <w:spacing w:val="-13"/>
        </w:rPr>
        <w:t>，向香港联合交易所有限公司</w:t>
      </w:r>
      <w:r>
        <w:rPr>
          <w:spacing w:val="-3"/>
        </w:rPr>
        <w:t>（</w:t>
      </w:r>
      <w:r>
        <w:rPr>
          <w:spacing w:val="-13"/>
        </w:rPr>
        <w:t>以下简称“联交所”</w:t>
      </w:r>
      <w:r>
        <w:rPr>
          <w:spacing w:val="-66"/>
        </w:rPr>
        <w:t>）</w:t>
      </w:r>
      <w:r>
        <w:rPr>
          <w:spacing w:val="-7"/>
        </w:rPr>
        <w:t>进行申报，买卖规定</w:t>
      </w:r>
      <w:r>
        <w:rPr>
          <w:spacing w:val="-5"/>
        </w:rPr>
        <w:t>范围内的联交所上市的</w:t>
      </w:r>
      <w:r>
        <w:rPr>
          <w:rFonts w:hint="eastAsia"/>
          <w:spacing w:val="-5"/>
          <w:lang w:eastAsia="zh-CN"/>
        </w:rPr>
        <w:t>证券</w:t>
      </w:r>
      <w:r>
        <w:rPr>
          <w:spacing w:val="-5"/>
        </w:rPr>
        <w:t>。</w:t>
      </w:r>
    </w:p>
    <w:p>
      <w:pPr>
        <w:spacing w:before="2"/>
        <w:ind w:left="535" w:right="0" w:firstLine="0"/>
        <w:jc w:val="left"/>
        <w:rPr>
          <w:sz w:val="21"/>
        </w:rPr>
      </w:pPr>
      <w:r>
        <w:rPr>
          <w:b/>
          <w:sz w:val="21"/>
        </w:rPr>
        <w:t>（二）港股通</w:t>
      </w:r>
      <w:r>
        <w:rPr>
          <w:rFonts w:hint="eastAsia"/>
          <w:b/>
          <w:sz w:val="21"/>
          <w:lang w:eastAsia="zh-CN"/>
        </w:rPr>
        <w:t>证券</w:t>
      </w:r>
      <w:r>
        <w:rPr>
          <w:b/>
          <w:sz w:val="21"/>
        </w:rPr>
        <w:t>：</w:t>
      </w:r>
      <w:r>
        <w:rPr>
          <w:sz w:val="21"/>
        </w:rPr>
        <w:t>指投资者可以通过港股通买卖的规定范围内的在联交所上市的</w:t>
      </w:r>
      <w:r>
        <w:rPr>
          <w:rFonts w:hint="eastAsia"/>
          <w:sz w:val="21"/>
          <w:lang w:eastAsia="zh-CN"/>
        </w:rPr>
        <w:t>证券</w:t>
      </w:r>
      <w:r>
        <w:rPr>
          <w:sz w:val="21"/>
        </w:rPr>
        <w:t>。</w:t>
      </w:r>
    </w:p>
    <w:p>
      <w:pPr>
        <w:spacing w:before="45"/>
        <w:ind w:left="535" w:right="0" w:firstLine="0"/>
        <w:jc w:val="left"/>
        <w:rPr>
          <w:sz w:val="21"/>
        </w:rPr>
      </w:pPr>
      <w:r>
        <w:rPr>
          <w:b/>
          <w:sz w:val="21"/>
        </w:rPr>
        <w:t>（三）港股通交易日：</w:t>
      </w:r>
      <w:r>
        <w:rPr>
          <w:sz w:val="21"/>
        </w:rPr>
        <w:t>指深交所证券交易服务公司公布的港股通交易日。</w:t>
      </w:r>
    </w:p>
    <w:p>
      <w:pPr>
        <w:spacing w:before="43"/>
        <w:ind w:left="535" w:right="0" w:firstLine="0"/>
        <w:jc w:val="left"/>
        <w:rPr>
          <w:sz w:val="21"/>
        </w:rPr>
      </w:pPr>
      <w:r>
        <w:rPr>
          <w:b/>
          <w:sz w:val="21"/>
        </w:rPr>
        <w:t>（四）A+H 股上市公司：</w:t>
      </w:r>
      <w:r>
        <w:rPr>
          <w:sz w:val="21"/>
        </w:rPr>
        <w:t>指在境内注册、其股票同时在内地交易所和联交所上市的公司。</w:t>
      </w:r>
    </w:p>
    <w:p>
      <w:pPr>
        <w:pStyle w:val="3"/>
        <w:spacing w:before="46" w:line="278" w:lineRule="auto"/>
        <w:ind w:right="272"/>
      </w:pPr>
      <w:r>
        <w:rPr>
          <w:b/>
        </w:rPr>
        <w:t>（五）竞价限价盘：</w:t>
      </w:r>
      <w:r>
        <w:t>指适用于联交所开市前时段和收市竞价时段的可以指定价格或更优价格成交的买卖盘。</w:t>
      </w:r>
    </w:p>
    <w:p>
      <w:pPr>
        <w:spacing w:before="2"/>
        <w:ind w:left="535" w:right="0" w:firstLine="0"/>
        <w:jc w:val="left"/>
        <w:rPr>
          <w:sz w:val="21"/>
        </w:rPr>
      </w:pPr>
      <w:r>
        <w:rPr>
          <w:b/>
          <w:sz w:val="21"/>
        </w:rPr>
        <w:t>（六）增强限价盘：</w:t>
      </w:r>
      <w:r>
        <w:rPr>
          <w:sz w:val="21"/>
        </w:rPr>
        <w:t>指适用于联交所持续交易时段的可以指定或更优价格成交的买卖盘。</w:t>
      </w:r>
    </w:p>
    <w:p>
      <w:pPr>
        <w:spacing w:before="43"/>
        <w:ind w:left="535" w:right="0" w:firstLine="0"/>
        <w:jc w:val="left"/>
        <w:rPr>
          <w:sz w:val="21"/>
        </w:rPr>
      </w:pPr>
      <w:r>
        <w:rPr>
          <w:b/>
          <w:sz w:val="21"/>
        </w:rPr>
        <w:t>（七）价格稳定期：</w:t>
      </w:r>
      <w:r>
        <w:rPr>
          <w:sz w:val="21"/>
        </w:rPr>
        <w:t>指在招股文件中载明的适用于该</w:t>
      </w:r>
      <w:r>
        <w:rPr>
          <w:rFonts w:hint="eastAsia"/>
          <w:sz w:val="21"/>
          <w:lang w:eastAsia="zh-CN"/>
        </w:rPr>
        <w:t>证券</w:t>
      </w:r>
      <w:r>
        <w:rPr>
          <w:sz w:val="21"/>
        </w:rPr>
        <w:t>的稳定价格期间。</w:t>
      </w:r>
    </w:p>
    <w:p>
      <w:pPr>
        <w:pStyle w:val="3"/>
        <w:spacing w:before="46" w:line="278" w:lineRule="auto"/>
        <w:ind w:right="286"/>
      </w:pPr>
      <w:r>
        <w:rPr>
          <w:b/>
        </w:rPr>
        <w:t>（八）供股：</w:t>
      </w:r>
      <w:r>
        <w:t>指联交所上市公司向现有股票持有人作出供股要约，使其可以按持有股票的比例认购该公司股票，且认购权利凭证可以通过二级市场进行转让。</w:t>
      </w:r>
    </w:p>
    <w:p>
      <w:pPr>
        <w:pStyle w:val="3"/>
        <w:spacing w:before="2" w:line="278" w:lineRule="auto"/>
        <w:ind w:right="295"/>
      </w:pPr>
      <w:r>
        <w:rPr>
          <w:b/>
        </w:rPr>
        <w:t>（九）公开配售：</w:t>
      </w:r>
      <w:r>
        <w:t>指联交所上市公司向现有股票持有人作出要约，使其可以认购该公司股票，但公开配售权益不能转让。</w:t>
      </w:r>
    </w:p>
    <w:p>
      <w:pPr>
        <w:pStyle w:val="3"/>
        <w:spacing w:before="2" w:line="278" w:lineRule="auto"/>
        <w:jc w:val="both"/>
      </w:pPr>
      <w:r>
        <w:rPr>
          <w:b/>
        </w:rPr>
        <w:t>（十</w:t>
      </w:r>
      <w:r>
        <w:rPr>
          <w:b/>
          <w:spacing w:val="-85"/>
        </w:rPr>
        <w:t>）</w:t>
      </w:r>
      <w:r>
        <w:rPr>
          <w:b/>
          <w:spacing w:val="-12"/>
        </w:rPr>
        <w:t>市场失当行为：</w:t>
      </w:r>
      <w:r>
        <w:rPr>
          <w:spacing w:val="-7"/>
        </w:rPr>
        <w:t>指香港地区法律及香港证券及期货事务监察委员会、联交所等规定的内幕交易、</w:t>
      </w:r>
      <w:r>
        <w:rPr>
          <w:spacing w:val="-8"/>
        </w:rPr>
        <w:t>虚假交易、操控价格、披露关于受禁交易的资料、披露虚假或具误导性的资料以诱使进行交易、操纵证券</w:t>
      </w:r>
      <w:r>
        <w:rPr>
          <w:spacing w:val="-5"/>
        </w:rPr>
        <w:t>市场及其他市场失当行为。</w:t>
      </w:r>
    </w:p>
    <w:p>
      <w:pPr>
        <w:spacing w:before="2"/>
        <w:ind w:left="535" w:right="0" w:firstLine="0"/>
        <w:jc w:val="left"/>
        <w:rPr>
          <w:sz w:val="21"/>
        </w:rPr>
      </w:pPr>
      <w:r>
        <w:rPr>
          <w:b/>
          <w:sz w:val="21"/>
        </w:rPr>
        <w:t>（十一）中国结算：</w:t>
      </w:r>
      <w:r>
        <w:rPr>
          <w:sz w:val="21"/>
        </w:rPr>
        <w:t>指中国证券登记结算有限责任公司及其分支机构。</w:t>
      </w:r>
    </w:p>
    <w:p>
      <w:pPr>
        <w:spacing w:before="45"/>
        <w:ind w:left="535" w:right="0" w:firstLine="0"/>
        <w:jc w:val="left"/>
        <w:rPr>
          <w:sz w:val="21"/>
        </w:rPr>
      </w:pPr>
      <w:r>
        <w:rPr>
          <w:b/>
          <w:sz w:val="21"/>
        </w:rPr>
        <w:t>（十二）中国证监会：</w:t>
      </w:r>
      <w:r>
        <w:rPr>
          <w:sz w:val="21"/>
        </w:rPr>
        <w:t>指中国证券监督管理委员会。</w:t>
      </w:r>
    </w:p>
    <w:p>
      <w:pPr>
        <w:spacing w:before="44"/>
        <w:ind w:left="535" w:right="0" w:firstLine="0"/>
        <w:jc w:val="left"/>
        <w:rPr>
          <w:sz w:val="21"/>
        </w:rPr>
      </w:pPr>
      <w:r>
        <w:rPr>
          <w:b/>
          <w:sz w:val="21"/>
        </w:rPr>
        <w:t>（十三）香港证监会：</w:t>
      </w:r>
      <w:r>
        <w:rPr>
          <w:sz w:val="21"/>
        </w:rPr>
        <w:t>指香港证券及期货事务监察委员会。</w:t>
      </w:r>
    </w:p>
    <w:p>
      <w:pPr>
        <w:spacing w:before="45"/>
        <w:ind w:left="535" w:right="0" w:firstLine="0"/>
        <w:jc w:val="left"/>
        <w:rPr>
          <w:sz w:val="21"/>
        </w:rPr>
      </w:pPr>
      <w:r>
        <w:rPr>
          <w:b/>
          <w:sz w:val="21"/>
        </w:rPr>
        <w:t>（十四）本协议：</w:t>
      </w:r>
      <w:r>
        <w:rPr>
          <w:sz w:val="21"/>
        </w:rPr>
        <w:t>指甲乙双方签订的港股通业务客户委托协议。</w:t>
      </w:r>
    </w:p>
    <w:p>
      <w:pPr>
        <w:spacing w:before="45"/>
        <w:ind w:left="535" w:right="0" w:firstLine="0"/>
        <w:jc w:val="left"/>
        <w:rPr>
          <w:sz w:val="21"/>
        </w:rPr>
      </w:pPr>
    </w:p>
    <w:p>
      <w:pPr>
        <w:tabs>
          <w:tab w:val="left" w:pos="1380"/>
          <w:tab w:val="left" w:pos="4825"/>
        </w:tabs>
        <w:spacing w:before="43" w:line="280" w:lineRule="auto"/>
        <w:ind w:left="535" w:right="4195" w:firstLine="3444"/>
        <w:jc w:val="left"/>
        <w:rPr>
          <w:sz w:val="21"/>
        </w:rPr>
      </w:pPr>
      <w:r>
        <w:rPr>
          <w:b/>
          <w:sz w:val="21"/>
        </w:rPr>
        <w:t>第二章</w:t>
      </w:r>
      <w:r>
        <w:rPr>
          <w:b/>
          <w:sz w:val="21"/>
        </w:rPr>
        <w:tab/>
      </w:r>
      <w:r>
        <w:rPr>
          <w:b/>
          <w:sz w:val="21"/>
        </w:rPr>
        <w:t>声明与保</w:t>
      </w:r>
      <w:r>
        <w:rPr>
          <w:b/>
          <w:spacing w:val="-17"/>
          <w:sz w:val="21"/>
        </w:rPr>
        <w:t>证</w:t>
      </w:r>
      <w:r>
        <w:rPr>
          <w:b/>
          <w:sz w:val="21"/>
        </w:rPr>
        <w:t>第二条</w:t>
      </w:r>
      <w:r>
        <w:rPr>
          <w:b/>
          <w:sz w:val="21"/>
        </w:rPr>
        <w:tab/>
      </w:r>
      <w:r>
        <w:rPr>
          <w:spacing w:val="-3"/>
          <w:sz w:val="21"/>
        </w:rPr>
        <w:t>甲</w:t>
      </w:r>
      <w:r>
        <w:rPr>
          <w:sz w:val="21"/>
        </w:rPr>
        <w:t>方</w:t>
      </w:r>
      <w:r>
        <w:rPr>
          <w:spacing w:val="-3"/>
          <w:sz w:val="21"/>
        </w:rPr>
        <w:t>向</w:t>
      </w:r>
      <w:r>
        <w:rPr>
          <w:sz w:val="21"/>
        </w:rPr>
        <w:t>乙</w:t>
      </w:r>
      <w:r>
        <w:rPr>
          <w:spacing w:val="-3"/>
          <w:sz w:val="21"/>
        </w:rPr>
        <w:t>方</w:t>
      </w:r>
      <w:r>
        <w:rPr>
          <w:sz w:val="21"/>
        </w:rPr>
        <w:t>作</w:t>
      </w:r>
      <w:r>
        <w:rPr>
          <w:spacing w:val="-3"/>
          <w:sz w:val="21"/>
        </w:rPr>
        <w:t>如</w:t>
      </w:r>
      <w:r>
        <w:rPr>
          <w:sz w:val="21"/>
        </w:rPr>
        <w:t>下声</w:t>
      </w:r>
      <w:r>
        <w:rPr>
          <w:spacing w:val="-3"/>
          <w:sz w:val="21"/>
        </w:rPr>
        <w:t>明</w:t>
      </w:r>
      <w:r>
        <w:rPr>
          <w:sz w:val="21"/>
        </w:rPr>
        <w:t>与</w:t>
      </w:r>
      <w:r>
        <w:rPr>
          <w:spacing w:val="-3"/>
          <w:sz w:val="21"/>
        </w:rPr>
        <w:t>保</w:t>
      </w:r>
      <w:r>
        <w:rPr>
          <w:sz w:val="21"/>
        </w:rPr>
        <w:t>证</w:t>
      </w:r>
      <w:r>
        <w:rPr>
          <w:spacing w:val="-3"/>
          <w:sz w:val="21"/>
        </w:rPr>
        <w:t>，</w:t>
      </w:r>
      <w:r>
        <w:rPr>
          <w:color w:val="333333"/>
          <w:sz w:val="21"/>
        </w:rPr>
        <w:t>包</w:t>
      </w:r>
      <w:r>
        <w:rPr>
          <w:color w:val="333333"/>
          <w:spacing w:val="-3"/>
          <w:sz w:val="21"/>
        </w:rPr>
        <w:t>括</w:t>
      </w:r>
      <w:r>
        <w:rPr>
          <w:color w:val="333333"/>
          <w:sz w:val="21"/>
        </w:rPr>
        <w:t>但</w:t>
      </w:r>
      <w:r>
        <w:rPr>
          <w:color w:val="333333"/>
          <w:spacing w:val="-3"/>
          <w:sz w:val="21"/>
        </w:rPr>
        <w:t>不</w:t>
      </w:r>
      <w:r>
        <w:rPr>
          <w:color w:val="333333"/>
          <w:sz w:val="21"/>
        </w:rPr>
        <w:t>限于：</w:t>
      </w:r>
    </w:p>
    <w:p>
      <w:pPr>
        <w:pStyle w:val="3"/>
        <w:spacing w:line="280" w:lineRule="auto"/>
        <w:ind w:firstLine="420"/>
        <w:jc w:val="both"/>
      </w:pPr>
      <w:r>
        <w:t>（</w:t>
      </w:r>
      <w:r>
        <w:rPr>
          <w:spacing w:val="-3"/>
        </w:rPr>
        <w:t>一</w:t>
      </w:r>
      <w:r>
        <w:rPr>
          <w:spacing w:val="-44"/>
        </w:rPr>
        <w:t>）</w:t>
      </w:r>
      <w:r>
        <w:rPr>
          <w:rFonts w:hint="eastAsia"/>
          <w:spacing w:val="-10"/>
        </w:rPr>
        <w:t>甲方已阅读并充分理解中国证监会《内地与香港股票市场交易互联互通机制若干规定》《关于交易型开放式基金纳入互联互通相关安排的公告》、深圳证券交易所及中国证券登记结算有限责任公司关于港股通的业务规则以及乙方向其提供的《深圳证券交易所港股通交易风险揭示书》等相关文件，甲方具有合法的港股通交易资格，不存在相关法律、行政法规、部门规章、规范性文件以及业务规则等规定的禁止、限制或不适合参与港股通交易的情形</w:t>
      </w:r>
      <w:r>
        <w:rPr>
          <w:spacing w:val="-7"/>
        </w:rPr>
        <w:t>。</w:t>
      </w:r>
    </w:p>
    <w:p>
      <w:pPr>
        <w:pStyle w:val="3"/>
        <w:spacing w:before="44" w:line="280" w:lineRule="auto"/>
        <w:ind w:right="327" w:firstLine="420" w:firstLineChars="200"/>
      </w:pPr>
      <w:r>
        <w:t>（二</w:t>
      </w:r>
      <w:r>
        <w:rPr>
          <w:spacing w:val="-63"/>
        </w:rPr>
        <w:t>）</w:t>
      </w:r>
      <w:r>
        <w:rPr>
          <w:spacing w:val="-9"/>
          <w:u w:val="single"/>
        </w:rPr>
        <w:t>甲方保证在其与乙方委托代理关系存续期内向乙方提供的所有证件、资料均真实、准确、完整、</w:t>
      </w:r>
      <w:r>
        <w:rPr>
          <w:spacing w:val="-6"/>
          <w:u w:val="single"/>
        </w:rPr>
        <w:t>合法，且用于港股通交易的资金来源合法，并保证遵守国家反洗钱的相关规定。在上述相关证件、</w:t>
      </w:r>
      <w:r>
        <w:rPr>
          <w:rFonts w:hint="eastAsia"/>
          <w:spacing w:val="-6"/>
          <w:u w:val="single"/>
        </w:rPr>
        <w:t>资料等发生变更时</w:t>
      </w:r>
      <w:r>
        <w:rPr>
          <w:spacing w:val="-3"/>
          <w:u w:val="single"/>
        </w:rPr>
        <w:t>，甲方应及时通知乙方，并及时到乙方开户营业部办理身份证明文件更新手续。</w:t>
      </w:r>
    </w:p>
    <w:p>
      <w:pPr>
        <w:pStyle w:val="3"/>
        <w:spacing w:line="280" w:lineRule="auto"/>
        <w:ind w:firstLine="420"/>
      </w:pPr>
      <w:r>
        <w:t>（</w:t>
      </w:r>
      <w:r>
        <w:rPr>
          <w:spacing w:val="-3"/>
        </w:rPr>
        <w:t>三</w:t>
      </w:r>
      <w:r>
        <w:rPr>
          <w:spacing w:val="-5"/>
        </w:rPr>
        <w:t>）</w:t>
      </w:r>
      <w:r>
        <w:rPr>
          <w:spacing w:val="-6"/>
        </w:rPr>
        <w:t>甲方承诺遵守港股通交易的内地与香港相关法律、行政法规、部门规章、规范性文件、业务规</w:t>
      </w:r>
      <w:r>
        <w:rPr>
          <w:spacing w:val="-4"/>
        </w:rPr>
        <w:t>则等规定，并承诺按照乙方的相关业务流程办理业务。</w:t>
      </w:r>
    </w:p>
    <w:p>
      <w:pPr>
        <w:pStyle w:val="3"/>
        <w:spacing w:line="278" w:lineRule="auto"/>
        <w:ind w:right="117" w:firstLine="420"/>
      </w:pPr>
      <w:r>
        <w:t>（四</w:t>
      </w:r>
      <w:r>
        <w:rPr>
          <w:spacing w:val="-13"/>
        </w:rPr>
        <w:t>）</w:t>
      </w:r>
      <w:r>
        <w:rPr>
          <w:spacing w:val="-5"/>
          <w:u w:val="single"/>
        </w:rPr>
        <w:t>甲方同意乙方以合法方式对甲方的资信状况、履约能力等情况进行必要的调查，同意乙方直接或</w:t>
      </w:r>
      <w:r>
        <w:rPr>
          <w:spacing w:val="-212"/>
          <w:u w:val="single"/>
        </w:rPr>
        <w:t>间</w:t>
      </w:r>
      <w:r>
        <w:rPr>
          <w:spacing w:val="-4"/>
          <w:u w:val="single"/>
        </w:rPr>
        <w:t>接从中国人民银行的征信管理系统了解或获取甲方的信用状况，并同意乙方按照有关规定向监管部门、证券</w:t>
      </w:r>
      <w:r>
        <w:rPr>
          <w:spacing w:val="-3"/>
          <w:u w:val="single"/>
        </w:rPr>
        <w:t>交易所、证券登记结算机构等单位报送甲方的港股通交易数据、账户资料及其他相关信息。</w:t>
      </w:r>
    </w:p>
    <w:p>
      <w:pPr>
        <w:pStyle w:val="3"/>
        <w:spacing w:line="278" w:lineRule="auto"/>
        <w:ind w:firstLine="420"/>
      </w:pPr>
      <w:r>
        <w:t>（五</w:t>
      </w:r>
      <w:r>
        <w:rPr>
          <w:spacing w:val="-13"/>
        </w:rPr>
        <w:t>）</w:t>
      </w:r>
      <w:r>
        <w:rPr>
          <w:spacing w:val="-5"/>
          <w:u w:val="single"/>
        </w:rPr>
        <w:t>甲方承诺审慎评估自身需求和风险承受能力，自行承担港股通交易的全部风险和损失，</w:t>
      </w:r>
      <w:r>
        <w:rPr>
          <w:rFonts w:hint="eastAsia"/>
          <w:spacing w:val="-5"/>
          <w:u w:val="single"/>
        </w:rPr>
        <w:t>无需乙方承担甲方的任何投资损失</w:t>
      </w:r>
      <w:r>
        <w:rPr>
          <w:spacing w:val="-3"/>
          <w:u w:val="single"/>
        </w:rPr>
        <w:t>。</w:t>
      </w:r>
    </w:p>
    <w:p>
      <w:pPr>
        <w:pStyle w:val="3"/>
        <w:spacing w:before="1" w:line="278" w:lineRule="auto"/>
        <w:ind w:firstLine="420"/>
      </w:pPr>
      <w:r>
        <w:t>（六</w:t>
      </w:r>
      <w:r>
        <w:rPr>
          <w:spacing w:val="-10"/>
        </w:rPr>
        <w:t>）</w:t>
      </w:r>
      <w:r>
        <w:rPr>
          <w:spacing w:val="-6"/>
          <w:u w:val="single"/>
        </w:rPr>
        <w:t>甲方承诺，将遵循买者自负原则，不以不符合投资者适当性条件为由，</w:t>
      </w:r>
      <w:r>
        <w:rPr>
          <w:rFonts w:hint="eastAsia"/>
          <w:spacing w:val="-6"/>
          <w:u w:val="single"/>
        </w:rPr>
        <w:t>拒绝承担港股通交易交收责任。</w:t>
      </w:r>
    </w:p>
    <w:p>
      <w:pPr>
        <w:pStyle w:val="3"/>
        <w:spacing w:before="2" w:line="278" w:lineRule="auto"/>
        <w:ind w:right="229" w:firstLine="420"/>
      </w:pPr>
      <w:r>
        <w:t>（七</w:t>
      </w:r>
      <w:r>
        <w:rPr>
          <w:spacing w:val="-13"/>
        </w:rPr>
        <w:t>）</w:t>
      </w:r>
      <w:r>
        <w:rPr>
          <w:spacing w:val="-5"/>
        </w:rPr>
        <w:t>甲方承诺未经乙方书面同意，不以任何方式转让本协议项下的各项权利与义务。甲方签署和履</w:t>
      </w:r>
      <w:r>
        <w:rPr>
          <w:spacing w:val="-7"/>
        </w:rPr>
        <w:t>行本协议不会与其章程、内部规章、以其为一方主体的任何其他协议或其他法律文件及其在该等法律文件</w:t>
      </w:r>
      <w:r>
        <w:rPr>
          <w:spacing w:val="-8"/>
        </w:rPr>
        <w:t>中的义务发生冲突，需要批准的，履行了批准手续，且不违反适用于甲方的任何现行法律、法规、规章、</w:t>
      </w:r>
      <w:r>
        <w:rPr>
          <w:spacing w:val="-3"/>
        </w:rPr>
        <w:t>条例、司法判决、裁定、仲裁裁决和行政授权、命令及决定，并履行了甲方的内部程序。</w:t>
      </w:r>
    </w:p>
    <w:p>
      <w:pPr>
        <w:pStyle w:val="3"/>
        <w:spacing w:before="5" w:line="278" w:lineRule="auto"/>
        <w:ind w:firstLine="420"/>
        <w:jc w:val="both"/>
      </w:pPr>
      <w:r>
        <w:t>（八</w:t>
      </w:r>
      <w:r>
        <w:rPr>
          <w:spacing w:val="-13"/>
        </w:rPr>
        <w:t>）</w:t>
      </w:r>
      <w:r>
        <w:rPr>
          <w:spacing w:val="-5"/>
          <w:u w:val="single"/>
        </w:rPr>
        <w:t>甲方同意乙方可对甲方的账户和交易行为进行监督，对甲方进行的违法违规交易行为，乙方有</w:t>
      </w:r>
      <w:r>
        <w:rPr>
          <w:rFonts w:hint="eastAsia"/>
          <w:spacing w:val="-5"/>
          <w:u w:val="single"/>
        </w:rPr>
        <w:t>权向证券交易所、有关监管部门</w:t>
      </w:r>
      <w:r>
        <w:rPr>
          <w:spacing w:val="-6"/>
          <w:u w:val="single"/>
        </w:rPr>
        <w:t>、证券业协会及司法机关报告并采取一切乙方认为必要的措施制止该交易行为</w:t>
      </w:r>
      <w:r>
        <w:rPr>
          <w:spacing w:val="-3"/>
          <w:u w:val="single"/>
        </w:rPr>
        <w:t>。甲方因进行违法违规行为所形成的经济损失和其他责任，由甲方承担。</w:t>
      </w:r>
    </w:p>
    <w:p>
      <w:pPr>
        <w:pStyle w:val="3"/>
        <w:spacing w:before="2" w:line="280" w:lineRule="auto"/>
        <w:ind w:right="225" w:firstLine="420"/>
      </w:pPr>
      <w:r>
        <w:rPr>
          <w:spacing w:val="-1"/>
          <w:u w:val="single"/>
        </w:rPr>
        <w:t>如甲方违法违规使用账户，或存在严重影响正常交易秩序的市场失当行为，乙方可以拒绝甲方委托，</w:t>
      </w:r>
      <w:r>
        <w:rPr>
          <w:spacing w:val="-192"/>
          <w:u w:val="single"/>
        </w:rPr>
        <w:t>或</w:t>
      </w:r>
      <w:r>
        <w:rPr>
          <w:spacing w:val="-3"/>
          <w:u w:val="single"/>
        </w:rPr>
        <w:t>终止与甲方的证券交易委托代理关系。</w:t>
      </w:r>
    </w:p>
    <w:p>
      <w:pPr>
        <w:pStyle w:val="3"/>
        <w:spacing w:line="280" w:lineRule="auto"/>
        <w:ind w:right="328" w:firstLine="420"/>
      </w:pPr>
      <w:r>
        <w:t>（</w:t>
      </w:r>
      <w:r>
        <w:rPr>
          <w:spacing w:val="-3"/>
        </w:rPr>
        <w:t>九</w:t>
      </w:r>
      <w:r>
        <w:rPr>
          <w:spacing w:val="-27"/>
        </w:rPr>
        <w:t>）</w:t>
      </w:r>
      <w:r>
        <w:rPr>
          <w:color w:val="333333"/>
          <w:spacing w:val="-9"/>
        </w:rPr>
        <w:t>甲方承诺，同意由中国证券登记结算有限责任公司</w:t>
      </w:r>
      <w:r>
        <w:rPr>
          <w:color w:val="333333"/>
          <w:spacing w:val="-3"/>
        </w:rPr>
        <w:t>（</w:t>
      </w:r>
      <w:r>
        <w:rPr>
          <w:color w:val="333333"/>
          <w:spacing w:val="-14"/>
        </w:rPr>
        <w:t>以下简称“中国结算”</w:t>
      </w:r>
      <w:r>
        <w:rPr>
          <w:color w:val="333333"/>
          <w:spacing w:val="-68"/>
        </w:rPr>
        <w:t>）</w:t>
      </w:r>
      <w:r>
        <w:rPr>
          <w:color w:val="333333"/>
          <w:spacing w:val="-3"/>
        </w:rPr>
        <w:t>代甲方名义持有通过港股通取得的证券。</w:t>
      </w:r>
    </w:p>
    <w:p>
      <w:pPr>
        <w:pStyle w:val="3"/>
        <w:spacing w:line="280" w:lineRule="auto"/>
        <w:ind w:firstLine="420"/>
        <w:jc w:val="both"/>
      </w:pPr>
      <w:r>
        <w:t>（</w:t>
      </w:r>
      <w:r>
        <w:rPr>
          <w:spacing w:val="-3"/>
        </w:rPr>
        <w:t>十</w:t>
      </w:r>
      <w:r>
        <w:rPr>
          <w:spacing w:val="-5"/>
        </w:rPr>
        <w:t>）</w:t>
      </w:r>
      <w:r>
        <w:rPr>
          <w:spacing w:val="-7"/>
        </w:rPr>
        <w:t>甲方已详细阅读本协议及其附件《深市港股通业务客户风险揭示书》的所有条款、内容，听取了乙方对港股通交易规则和协议内容的讲解，准确理解港股通交易规则和本协议及《深市港股通业务客户风险揭示书》的确切含义，</w:t>
      </w:r>
      <w:r>
        <w:rPr>
          <w:spacing w:val="-4"/>
          <w:u w:val="single"/>
        </w:rPr>
        <w:t>特别是甲方的责任条款和乙方的免责条款的含义，清楚认识并愿意自行承担港</w:t>
      </w:r>
      <w:r>
        <w:rPr>
          <w:rFonts w:hint="eastAsia"/>
          <w:spacing w:val="-4"/>
          <w:u w:val="single"/>
        </w:rPr>
        <w:t>股通交易的全部风险，并接受本协议的约</w:t>
      </w:r>
      <w:r>
        <w:rPr>
          <w:spacing w:val="-3"/>
          <w:u w:val="single"/>
        </w:rPr>
        <w:t>束</w:t>
      </w:r>
      <w:r>
        <w:t>。</w:t>
      </w:r>
    </w:p>
    <w:p>
      <w:pPr>
        <w:pStyle w:val="3"/>
        <w:spacing w:line="263" w:lineRule="exact"/>
        <w:ind w:left="533" w:right="0" w:firstLine="0"/>
      </w:pPr>
      <w:r>
        <w:t>（十一）</w:t>
      </w:r>
      <w:r>
        <w:rPr>
          <w:u w:val="single"/>
        </w:rPr>
        <w:t>甲方保证在本协议有效期内维持前述声明，并保证始终真实有效。</w:t>
      </w:r>
    </w:p>
    <w:p>
      <w:pPr>
        <w:pStyle w:val="3"/>
        <w:spacing w:before="39" w:line="278" w:lineRule="auto"/>
        <w:ind w:right="328" w:firstLine="420"/>
      </w:pPr>
      <w:r>
        <w:t>（十二）</w:t>
      </w:r>
      <w:r>
        <w:rPr>
          <w:u w:val="single"/>
        </w:rPr>
        <w:t>甲方保证上述声明与承诺的内容皆为本人/</w:t>
      </w:r>
      <w:r>
        <w:rPr>
          <w:spacing w:val="-1"/>
          <w:u w:val="single"/>
        </w:rPr>
        <w:t>本单位真实意愿，并自愿承担虚假陈述的一切</w:t>
      </w:r>
      <w:r>
        <w:rPr>
          <w:rFonts w:hint="eastAsia"/>
          <w:spacing w:val="-1"/>
          <w:u w:val="single"/>
        </w:rPr>
        <w:t>后果。</w:t>
      </w:r>
    </w:p>
    <w:p>
      <w:pPr>
        <w:pStyle w:val="3"/>
        <w:tabs>
          <w:tab w:val="left" w:pos="1380"/>
        </w:tabs>
        <w:spacing w:before="2"/>
        <w:ind w:left="535" w:right="0" w:firstLine="0"/>
      </w:pPr>
      <w:r>
        <w:rPr>
          <w:b/>
        </w:rPr>
        <w:t>第三条</w:t>
      </w:r>
      <w:r>
        <w:rPr>
          <w:b/>
        </w:rPr>
        <w:tab/>
      </w:r>
      <w:r>
        <w:rPr>
          <w:spacing w:val="-3"/>
        </w:rPr>
        <w:t>乙</w:t>
      </w:r>
      <w:r>
        <w:t>方</w:t>
      </w:r>
      <w:r>
        <w:rPr>
          <w:spacing w:val="-3"/>
        </w:rPr>
        <w:t>向</w:t>
      </w:r>
      <w:r>
        <w:t>甲</w:t>
      </w:r>
      <w:r>
        <w:rPr>
          <w:spacing w:val="-3"/>
        </w:rPr>
        <w:t>方</w:t>
      </w:r>
      <w:r>
        <w:t>作</w:t>
      </w:r>
      <w:r>
        <w:rPr>
          <w:spacing w:val="-3"/>
        </w:rPr>
        <w:t>如</w:t>
      </w:r>
      <w:r>
        <w:t>下声</w:t>
      </w:r>
      <w:r>
        <w:rPr>
          <w:spacing w:val="-3"/>
        </w:rPr>
        <w:t>明</w:t>
      </w:r>
      <w:r>
        <w:t>与</w:t>
      </w:r>
      <w:r>
        <w:rPr>
          <w:spacing w:val="-3"/>
        </w:rPr>
        <w:t>保</w:t>
      </w:r>
      <w:r>
        <w:t>证</w:t>
      </w:r>
      <w:r>
        <w:rPr>
          <w:spacing w:val="-3"/>
        </w:rPr>
        <w:t>，</w:t>
      </w:r>
      <w:r>
        <w:rPr>
          <w:color w:val="333333"/>
        </w:rPr>
        <w:t>包</w:t>
      </w:r>
      <w:r>
        <w:rPr>
          <w:color w:val="333333"/>
          <w:spacing w:val="-3"/>
        </w:rPr>
        <w:t>括</w:t>
      </w:r>
      <w:r>
        <w:rPr>
          <w:color w:val="333333"/>
        </w:rPr>
        <w:t>但</w:t>
      </w:r>
      <w:r>
        <w:rPr>
          <w:color w:val="333333"/>
          <w:spacing w:val="-3"/>
        </w:rPr>
        <w:t>不</w:t>
      </w:r>
      <w:r>
        <w:rPr>
          <w:color w:val="333333"/>
        </w:rPr>
        <w:t>限于：</w:t>
      </w:r>
    </w:p>
    <w:p>
      <w:pPr>
        <w:pStyle w:val="3"/>
        <w:spacing w:before="43" w:line="280" w:lineRule="auto"/>
        <w:ind w:right="294" w:firstLine="420"/>
      </w:pPr>
      <w:r>
        <w:t>（一）</w:t>
      </w:r>
      <w:r>
        <w:rPr>
          <w:color w:val="333333"/>
        </w:rPr>
        <w:t>乙方所属证券公司是依照内地法律设立且有效存续的证券经营机构，具有相应的证券经纪业务资格，已开通了港股通业务交易权限；</w:t>
      </w:r>
    </w:p>
    <w:p>
      <w:pPr>
        <w:pStyle w:val="3"/>
        <w:spacing w:line="266" w:lineRule="exact"/>
        <w:ind w:left="533" w:right="0" w:firstLine="0"/>
      </w:pPr>
      <w:r>
        <w:t>（二）</w:t>
      </w:r>
      <w:r>
        <w:rPr>
          <w:color w:val="333333"/>
        </w:rPr>
        <w:t>乙方承诺遵守本协议，按本协议的约定为甲方提供港股通交易相关服务；</w:t>
      </w:r>
    </w:p>
    <w:p>
      <w:pPr>
        <w:pStyle w:val="3"/>
        <w:spacing w:before="45" w:line="278" w:lineRule="auto"/>
        <w:ind w:right="325" w:firstLine="420"/>
      </w:pPr>
      <w:r>
        <w:t>（</w:t>
      </w:r>
      <w:r>
        <w:rPr>
          <w:spacing w:val="-3"/>
        </w:rPr>
        <w:t>三</w:t>
      </w:r>
      <w:r>
        <w:rPr>
          <w:spacing w:val="-44"/>
        </w:rPr>
        <w:t>）</w:t>
      </w:r>
      <w:r>
        <w:rPr>
          <w:spacing w:val="-16"/>
        </w:rPr>
        <w:t>乙方向甲方提供了《深市港股通业务客户风险揭示书》，并按照有关规定向甲方详细讲解了港股</w:t>
      </w:r>
      <w:r>
        <w:rPr>
          <w:spacing w:val="-7"/>
        </w:rPr>
        <w:t>通交易规则和本协议内容；</w:t>
      </w:r>
    </w:p>
    <w:p>
      <w:pPr>
        <w:pStyle w:val="3"/>
        <w:spacing w:before="2"/>
        <w:ind w:left="533" w:right="0" w:firstLine="0"/>
      </w:pPr>
      <w:r>
        <w:t>（四）乙方不以任何方式保证甲方获得投资收益,乙方也不以任何形式承担甲方的投资损失；</w:t>
      </w:r>
    </w:p>
    <w:p>
      <w:pPr>
        <w:pStyle w:val="3"/>
        <w:spacing w:before="43"/>
        <w:ind w:left="533" w:right="0" w:firstLine="0"/>
      </w:pPr>
      <w:r>
        <w:t>（五）乙方保证在本协议有效期内维持前述声明，并保证始终真实有效。</w:t>
      </w:r>
    </w:p>
    <w:p>
      <w:pPr>
        <w:pStyle w:val="3"/>
        <w:spacing w:before="43"/>
        <w:ind w:left="533" w:right="0" w:firstLine="0"/>
      </w:pPr>
    </w:p>
    <w:p>
      <w:pPr>
        <w:pStyle w:val="2"/>
        <w:tabs>
          <w:tab w:val="left" w:pos="4614"/>
        </w:tabs>
        <w:spacing w:before="46"/>
        <w:ind w:left="3769"/>
      </w:pPr>
      <w:r>
        <w:t>第三章</w:t>
      </w:r>
      <w:r>
        <w:tab/>
      </w:r>
      <w:r>
        <w:t>委托代理</w:t>
      </w:r>
      <w:r>
        <w:rPr>
          <w:spacing w:val="-3"/>
        </w:rPr>
        <w:t>与</w:t>
      </w:r>
      <w:r>
        <w:t>结算</w:t>
      </w:r>
    </w:p>
    <w:p>
      <w:pPr>
        <w:pStyle w:val="3"/>
        <w:tabs>
          <w:tab w:val="left" w:pos="1380"/>
        </w:tabs>
        <w:spacing w:before="43"/>
        <w:ind w:left="535" w:right="0" w:firstLine="0"/>
      </w:pPr>
      <w:r>
        <w:rPr>
          <w:b/>
        </w:rPr>
        <w:t>第四条</w:t>
      </w:r>
      <w:r>
        <w:rPr>
          <w:b/>
        </w:rPr>
        <w:tab/>
      </w:r>
      <w:r>
        <w:rPr>
          <w:spacing w:val="-3"/>
        </w:rPr>
        <w:t>双</w:t>
      </w:r>
      <w:r>
        <w:t>方</w:t>
      </w:r>
      <w:r>
        <w:rPr>
          <w:spacing w:val="-3"/>
        </w:rPr>
        <w:t>同</w:t>
      </w:r>
      <w:r>
        <w:t>意</w:t>
      </w:r>
      <w:r>
        <w:rPr>
          <w:spacing w:val="-3"/>
        </w:rPr>
        <w:t>，</w:t>
      </w:r>
      <w:r>
        <w:t>乙</w:t>
      </w:r>
      <w:r>
        <w:rPr>
          <w:spacing w:val="-3"/>
        </w:rPr>
        <w:t>方</w:t>
      </w:r>
      <w:r>
        <w:t>接受</w:t>
      </w:r>
      <w:r>
        <w:rPr>
          <w:spacing w:val="-3"/>
        </w:rPr>
        <w:t>甲</w:t>
      </w:r>
      <w:r>
        <w:t>方</w:t>
      </w:r>
      <w:r>
        <w:rPr>
          <w:spacing w:val="-3"/>
        </w:rPr>
        <w:t>委</w:t>
      </w:r>
      <w:r>
        <w:t>托</w:t>
      </w:r>
      <w:r>
        <w:rPr>
          <w:spacing w:val="-3"/>
        </w:rPr>
        <w:t>为</w:t>
      </w:r>
      <w:r>
        <w:t>其</w:t>
      </w:r>
      <w:r>
        <w:rPr>
          <w:spacing w:val="-3"/>
        </w:rPr>
        <w:t>代</w:t>
      </w:r>
      <w:r>
        <w:t>理</w:t>
      </w:r>
      <w:r>
        <w:rPr>
          <w:spacing w:val="-3"/>
        </w:rPr>
        <w:t>提</w:t>
      </w:r>
      <w:r>
        <w:t>供以</w:t>
      </w:r>
      <w:r>
        <w:rPr>
          <w:spacing w:val="-3"/>
        </w:rPr>
        <w:t>下</w:t>
      </w:r>
      <w:r>
        <w:t>服</w:t>
      </w:r>
      <w:r>
        <w:rPr>
          <w:spacing w:val="-3"/>
        </w:rPr>
        <w:t>务</w:t>
      </w:r>
      <w:r>
        <w:t>：</w:t>
      </w:r>
    </w:p>
    <w:p>
      <w:pPr>
        <w:pStyle w:val="3"/>
        <w:spacing w:before="46"/>
        <w:ind w:left="533" w:right="0" w:firstLine="0"/>
      </w:pPr>
      <w:r>
        <w:rPr>
          <w:color w:val="333333"/>
        </w:rPr>
        <w:t>（一）接受并执行甲方依照本协议约定的方式下达的合法有效的委托指令；</w:t>
      </w:r>
    </w:p>
    <w:p>
      <w:pPr>
        <w:pStyle w:val="3"/>
        <w:spacing w:before="43"/>
        <w:ind w:left="533" w:right="0" w:firstLine="0"/>
      </w:pPr>
      <w:r>
        <w:rPr>
          <w:color w:val="333333"/>
        </w:rPr>
        <w:t>（二）进行资金、证券的清算、交收；</w:t>
      </w:r>
    </w:p>
    <w:p>
      <w:pPr>
        <w:pStyle w:val="3"/>
        <w:spacing w:before="45"/>
        <w:ind w:left="533" w:right="0" w:firstLine="0"/>
      </w:pPr>
      <w:r>
        <w:rPr>
          <w:color w:val="333333"/>
        </w:rPr>
        <w:t>（三）托管甲方买入或其他方式取得的有价证券；</w:t>
      </w:r>
    </w:p>
    <w:p>
      <w:pPr>
        <w:pStyle w:val="3"/>
        <w:spacing w:before="43"/>
        <w:ind w:left="533" w:right="0" w:firstLine="0"/>
      </w:pPr>
      <w:r>
        <w:rPr>
          <w:color w:val="333333"/>
        </w:rPr>
        <w:t>（四）证券登记结算机构通过乙方向甲方提供的红利分派等名义持有人服务；</w:t>
      </w:r>
    </w:p>
    <w:p>
      <w:pPr>
        <w:pStyle w:val="3"/>
        <w:spacing w:before="45"/>
        <w:ind w:left="533" w:right="0" w:firstLine="0"/>
      </w:pPr>
      <w:r>
        <w:rPr>
          <w:color w:val="333333"/>
        </w:rPr>
        <w:t>（</w:t>
      </w:r>
      <w:r>
        <w:rPr>
          <w:color w:val="333333"/>
          <w:spacing w:val="-3"/>
        </w:rPr>
        <w:t>五</w:t>
      </w:r>
      <w:r>
        <w:rPr>
          <w:color w:val="333333"/>
          <w:spacing w:val="-80"/>
        </w:rPr>
        <w:t>）</w:t>
      </w:r>
      <w:r>
        <w:rPr>
          <w:color w:val="333333"/>
          <w:spacing w:val="-13"/>
        </w:rPr>
        <w:t>接受甲方对其委托、成交及账户内的资产及变化情况的查询，并应甲方的要求提供相应的清单；</w:t>
      </w:r>
    </w:p>
    <w:p>
      <w:pPr>
        <w:pStyle w:val="3"/>
        <w:spacing w:before="43" w:line="280" w:lineRule="auto"/>
        <w:ind w:firstLine="420"/>
      </w:pPr>
      <w:r>
        <w:rPr>
          <w:color w:val="333333"/>
        </w:rPr>
        <w:t>（</w:t>
      </w:r>
      <w:r>
        <w:rPr>
          <w:color w:val="333333"/>
          <w:spacing w:val="-3"/>
        </w:rPr>
        <w:t>六</w:t>
      </w:r>
      <w:r>
        <w:rPr>
          <w:color w:val="333333"/>
          <w:spacing w:val="-5"/>
        </w:rPr>
        <w:t>）</w:t>
      </w:r>
      <w:r>
        <w:rPr>
          <w:color w:val="333333"/>
          <w:spacing w:val="-7"/>
        </w:rPr>
        <w:t>相关法律、行政法规、部门规章、规范性文件、业务规则规定的甲方可以委托乙方进行的其他</w:t>
      </w:r>
      <w:r>
        <w:rPr>
          <w:color w:val="333333"/>
          <w:spacing w:val="-5"/>
        </w:rPr>
        <w:t>活动以及双方依法约定的其他委托事项。</w:t>
      </w:r>
    </w:p>
    <w:p>
      <w:pPr>
        <w:pStyle w:val="3"/>
        <w:tabs>
          <w:tab w:val="left" w:pos="1380"/>
        </w:tabs>
        <w:spacing w:before="44" w:line="280" w:lineRule="auto"/>
      </w:pPr>
      <w:r>
        <w:rPr>
          <w:b/>
        </w:rPr>
        <w:t>第五条</w:t>
      </w:r>
      <w:r>
        <w:rPr>
          <w:b/>
        </w:rPr>
        <w:tab/>
      </w:r>
      <w:r>
        <w:rPr>
          <w:spacing w:val="-3"/>
        </w:rPr>
        <w:t>甲</w:t>
      </w:r>
      <w:r>
        <w:t>方</w:t>
      </w:r>
      <w:r>
        <w:rPr>
          <w:spacing w:val="-3"/>
        </w:rPr>
        <w:t>在</w:t>
      </w:r>
      <w:r>
        <w:t>参</w:t>
      </w:r>
      <w:r>
        <w:rPr>
          <w:spacing w:val="-3"/>
        </w:rPr>
        <w:t>与</w:t>
      </w:r>
      <w:r>
        <w:t>港</w:t>
      </w:r>
      <w:r>
        <w:rPr>
          <w:spacing w:val="-3"/>
        </w:rPr>
        <w:t>股</w:t>
      </w:r>
      <w:r>
        <w:t>通交</w:t>
      </w:r>
      <w:r>
        <w:rPr>
          <w:spacing w:val="-3"/>
        </w:rPr>
        <w:t>易</w:t>
      </w:r>
      <w:r>
        <w:t>前</w:t>
      </w:r>
      <w:r>
        <w:rPr>
          <w:spacing w:val="-15"/>
        </w:rPr>
        <w:t>，</w:t>
      </w:r>
      <w:r>
        <w:t>应</w:t>
      </w:r>
      <w:r>
        <w:rPr>
          <w:spacing w:val="-3"/>
        </w:rPr>
        <w:t>先</w:t>
      </w:r>
      <w:r>
        <w:t>依</w:t>
      </w:r>
      <w:r>
        <w:rPr>
          <w:spacing w:val="-3"/>
        </w:rPr>
        <w:t>照</w:t>
      </w:r>
      <w:r>
        <w:t>法</w:t>
      </w:r>
      <w:r>
        <w:rPr>
          <w:spacing w:val="-3"/>
        </w:rPr>
        <w:t>律</w:t>
      </w:r>
      <w:r>
        <w:t>法规</w:t>
      </w:r>
      <w:r>
        <w:rPr>
          <w:spacing w:val="-15"/>
        </w:rPr>
        <w:t>、</w:t>
      </w:r>
      <w:r>
        <w:t>相</w:t>
      </w:r>
      <w:r>
        <w:rPr>
          <w:spacing w:val="-3"/>
        </w:rPr>
        <w:t>关</w:t>
      </w:r>
      <w:r>
        <w:t>业</w:t>
      </w:r>
      <w:r>
        <w:rPr>
          <w:spacing w:val="-3"/>
        </w:rPr>
        <w:t>务</w:t>
      </w:r>
      <w:r>
        <w:t>规则</w:t>
      </w:r>
      <w:r>
        <w:rPr>
          <w:color w:val="333333"/>
        </w:rPr>
        <w:t>开</w:t>
      </w:r>
      <w:r>
        <w:rPr>
          <w:color w:val="333333"/>
          <w:spacing w:val="-3"/>
        </w:rPr>
        <w:t>立</w:t>
      </w:r>
      <w:r>
        <w:rPr>
          <w:color w:val="333333"/>
        </w:rPr>
        <w:t>账户</w:t>
      </w:r>
      <w:r>
        <w:rPr>
          <w:color w:val="333333"/>
          <w:spacing w:val="-3"/>
        </w:rPr>
        <w:t>用</w:t>
      </w:r>
      <w:r>
        <w:rPr>
          <w:color w:val="333333"/>
        </w:rPr>
        <w:t>于</w:t>
      </w:r>
      <w:r>
        <w:rPr>
          <w:color w:val="333333"/>
          <w:spacing w:val="-3"/>
        </w:rPr>
        <w:t>证</w:t>
      </w:r>
      <w:r>
        <w:rPr>
          <w:color w:val="333333"/>
        </w:rPr>
        <w:t>券</w:t>
      </w:r>
      <w:r>
        <w:rPr>
          <w:color w:val="333333"/>
          <w:spacing w:val="-3"/>
        </w:rPr>
        <w:t>交</w:t>
      </w:r>
      <w:r>
        <w:rPr>
          <w:color w:val="333333"/>
        </w:rPr>
        <w:t>易</w:t>
      </w:r>
      <w:r>
        <w:rPr>
          <w:color w:val="333333"/>
          <w:spacing w:val="-15"/>
        </w:rPr>
        <w:t>、</w:t>
      </w:r>
      <w:r>
        <w:rPr>
          <w:color w:val="333333"/>
        </w:rPr>
        <w:t>清算交收</w:t>
      </w:r>
      <w:r>
        <w:rPr>
          <w:color w:val="333333"/>
          <w:spacing w:val="-3"/>
        </w:rPr>
        <w:t>和</w:t>
      </w:r>
      <w:r>
        <w:rPr>
          <w:color w:val="333333"/>
        </w:rPr>
        <w:t>计</w:t>
      </w:r>
      <w:r>
        <w:rPr>
          <w:color w:val="333333"/>
          <w:spacing w:val="-3"/>
        </w:rPr>
        <w:t>付</w:t>
      </w:r>
      <w:r>
        <w:rPr>
          <w:color w:val="333333"/>
        </w:rPr>
        <w:t>利</w:t>
      </w:r>
      <w:r>
        <w:rPr>
          <w:color w:val="333333"/>
          <w:spacing w:val="-3"/>
        </w:rPr>
        <w:t>息</w:t>
      </w:r>
      <w:r>
        <w:rPr>
          <w:color w:val="333333"/>
        </w:rPr>
        <w:t>等</w:t>
      </w:r>
      <w:r>
        <w:rPr>
          <w:spacing w:val="-3"/>
        </w:rPr>
        <w:t>。</w:t>
      </w:r>
      <w:r>
        <w:t>乙</w:t>
      </w:r>
      <w:r>
        <w:rPr>
          <w:spacing w:val="-3"/>
        </w:rPr>
        <w:t>方</w:t>
      </w:r>
      <w:r>
        <w:t>代理</w:t>
      </w:r>
      <w:r>
        <w:rPr>
          <w:spacing w:val="-3"/>
        </w:rPr>
        <w:t>证</w:t>
      </w:r>
      <w:r>
        <w:t>券</w:t>
      </w:r>
      <w:r>
        <w:rPr>
          <w:spacing w:val="-3"/>
        </w:rPr>
        <w:t>登</w:t>
      </w:r>
      <w:r>
        <w:t>记</w:t>
      </w:r>
      <w:r>
        <w:rPr>
          <w:spacing w:val="-3"/>
        </w:rPr>
        <w:t>结</w:t>
      </w:r>
      <w:r>
        <w:t>算</w:t>
      </w:r>
      <w:r>
        <w:rPr>
          <w:spacing w:val="-3"/>
        </w:rPr>
        <w:t>机</w:t>
      </w:r>
      <w:r>
        <w:t>构</w:t>
      </w:r>
      <w:r>
        <w:rPr>
          <w:spacing w:val="-3"/>
        </w:rPr>
        <w:t>开</w:t>
      </w:r>
      <w:r>
        <w:t>立证</w:t>
      </w:r>
      <w:r>
        <w:rPr>
          <w:spacing w:val="-3"/>
        </w:rPr>
        <w:t>券</w:t>
      </w:r>
      <w:r>
        <w:t>账</w:t>
      </w:r>
      <w:r>
        <w:rPr>
          <w:spacing w:val="-3"/>
        </w:rPr>
        <w:t>户</w:t>
      </w:r>
      <w:r>
        <w:t>，</w:t>
      </w:r>
      <w:r>
        <w:rPr>
          <w:spacing w:val="-3"/>
        </w:rPr>
        <w:t>应</w:t>
      </w:r>
      <w:r>
        <w:t>遵</w:t>
      </w:r>
      <w:r>
        <w:rPr>
          <w:spacing w:val="-3"/>
        </w:rPr>
        <w:t>循</w:t>
      </w:r>
      <w:r>
        <w:t>证</w:t>
      </w:r>
      <w:r>
        <w:rPr>
          <w:spacing w:val="-3"/>
        </w:rPr>
        <w:t>券</w:t>
      </w:r>
      <w:r>
        <w:t>登记</w:t>
      </w:r>
      <w:r>
        <w:rPr>
          <w:spacing w:val="-3"/>
        </w:rPr>
        <w:t>结</w:t>
      </w:r>
      <w:r>
        <w:t>算</w:t>
      </w:r>
      <w:r>
        <w:rPr>
          <w:spacing w:val="-3"/>
        </w:rPr>
        <w:t>机</w:t>
      </w:r>
      <w:r>
        <w:t>构</w:t>
      </w:r>
      <w:r>
        <w:rPr>
          <w:spacing w:val="-3"/>
        </w:rPr>
        <w:t>的</w:t>
      </w:r>
      <w:r>
        <w:t>有</w:t>
      </w:r>
      <w:r>
        <w:rPr>
          <w:spacing w:val="-3"/>
        </w:rPr>
        <w:t>关</w:t>
      </w:r>
      <w:r>
        <w:t>规</w:t>
      </w:r>
      <w:r>
        <w:rPr>
          <w:spacing w:val="-3"/>
        </w:rPr>
        <w:t>定</w:t>
      </w:r>
      <w:r>
        <w:t>。</w:t>
      </w:r>
    </w:p>
    <w:p>
      <w:pPr>
        <w:pStyle w:val="3"/>
        <w:tabs>
          <w:tab w:val="left" w:pos="1380"/>
        </w:tabs>
        <w:spacing w:line="280" w:lineRule="auto"/>
        <w:ind w:left="535" w:hanging="3"/>
      </w:pPr>
      <w:r>
        <w:t>甲方</w:t>
      </w:r>
      <w:r>
        <w:rPr>
          <w:spacing w:val="-3"/>
        </w:rPr>
        <w:t>已</w:t>
      </w:r>
      <w:r>
        <w:t>经</w:t>
      </w:r>
      <w:r>
        <w:rPr>
          <w:spacing w:val="-3"/>
        </w:rPr>
        <w:t>开</w:t>
      </w:r>
      <w:r>
        <w:t>立</w:t>
      </w:r>
      <w:r>
        <w:rPr>
          <w:spacing w:val="-3"/>
        </w:rPr>
        <w:t>深</w:t>
      </w:r>
      <w:r>
        <w:t>市</w:t>
      </w:r>
      <w:r>
        <w:rPr>
          <w:spacing w:val="-34"/>
        </w:rPr>
        <w:t xml:space="preserve"> </w:t>
      </w:r>
      <w:r>
        <w:t>A</w:t>
      </w:r>
      <w:r>
        <w:rPr>
          <w:spacing w:val="-36"/>
        </w:rPr>
        <w:t xml:space="preserve"> </w:t>
      </w:r>
      <w:r>
        <w:t>股</w:t>
      </w:r>
      <w:r>
        <w:rPr>
          <w:spacing w:val="-3"/>
        </w:rPr>
        <w:t>证</w:t>
      </w:r>
      <w:r>
        <w:t>券账</w:t>
      </w:r>
      <w:r>
        <w:rPr>
          <w:spacing w:val="-3"/>
        </w:rPr>
        <w:t>户</w:t>
      </w:r>
      <w:r>
        <w:t>（</w:t>
      </w:r>
      <w:r>
        <w:rPr>
          <w:spacing w:val="-3"/>
        </w:rPr>
        <w:t>人</w:t>
      </w:r>
      <w:r>
        <w:t>民</w:t>
      </w:r>
      <w:r>
        <w:rPr>
          <w:spacing w:val="-3"/>
        </w:rPr>
        <w:t>币</w:t>
      </w:r>
      <w:r>
        <w:t>普</w:t>
      </w:r>
      <w:r>
        <w:rPr>
          <w:spacing w:val="-3"/>
        </w:rPr>
        <w:t>通</w:t>
      </w:r>
      <w:r>
        <w:t>股</w:t>
      </w:r>
      <w:r>
        <w:rPr>
          <w:spacing w:val="-3"/>
        </w:rPr>
        <w:t>证</w:t>
      </w:r>
      <w:r>
        <w:t>券账</w:t>
      </w:r>
      <w:r>
        <w:rPr>
          <w:spacing w:val="-3"/>
        </w:rPr>
        <w:t>户</w:t>
      </w:r>
      <w:r>
        <w:t>）</w:t>
      </w:r>
      <w:r>
        <w:rPr>
          <w:spacing w:val="-3"/>
        </w:rPr>
        <w:t>的</w:t>
      </w:r>
      <w:r>
        <w:t>，</w:t>
      </w:r>
      <w:r>
        <w:rPr>
          <w:spacing w:val="-3"/>
        </w:rPr>
        <w:t>可</w:t>
      </w:r>
      <w:r>
        <w:t>使</w:t>
      </w:r>
      <w:r>
        <w:rPr>
          <w:spacing w:val="-3"/>
        </w:rPr>
        <w:t>用</w:t>
      </w:r>
      <w:r>
        <w:t>现</w:t>
      </w:r>
      <w:r>
        <w:rPr>
          <w:spacing w:val="-3"/>
        </w:rPr>
        <w:t>有</w:t>
      </w:r>
      <w:r>
        <w:t>账户</w:t>
      </w:r>
      <w:r>
        <w:rPr>
          <w:spacing w:val="-3"/>
        </w:rPr>
        <w:t>进</w:t>
      </w:r>
      <w:r>
        <w:t>行</w:t>
      </w:r>
      <w:r>
        <w:rPr>
          <w:spacing w:val="-3"/>
        </w:rPr>
        <w:t>港</w:t>
      </w:r>
      <w:r>
        <w:t>股</w:t>
      </w:r>
      <w:r>
        <w:rPr>
          <w:spacing w:val="-3"/>
        </w:rPr>
        <w:t>通</w:t>
      </w:r>
      <w:r>
        <w:t>交</w:t>
      </w:r>
      <w:r>
        <w:rPr>
          <w:spacing w:val="-3"/>
        </w:rPr>
        <w:t>易</w:t>
      </w:r>
      <w:r>
        <w:t>。</w:t>
      </w:r>
    </w:p>
    <w:p>
      <w:pPr>
        <w:pStyle w:val="3"/>
        <w:tabs>
          <w:tab w:val="left" w:pos="1380"/>
        </w:tabs>
        <w:spacing w:line="280" w:lineRule="auto"/>
        <w:ind w:left="535" w:hanging="3"/>
      </w:pPr>
      <w:r>
        <w:rPr>
          <w:b/>
        </w:rPr>
        <w:t>第六条</w:t>
      </w:r>
      <w:r>
        <w:rPr>
          <w:b/>
        </w:rPr>
        <w:tab/>
      </w:r>
      <w:r>
        <w:rPr>
          <w:spacing w:val="-3"/>
        </w:rPr>
        <w:t>如</w:t>
      </w:r>
      <w:r>
        <w:t>甲</w:t>
      </w:r>
      <w:r>
        <w:rPr>
          <w:spacing w:val="-3"/>
        </w:rPr>
        <w:t>方</w:t>
      </w:r>
      <w:r>
        <w:t>已</w:t>
      </w:r>
      <w:r>
        <w:rPr>
          <w:spacing w:val="-3"/>
        </w:rPr>
        <w:t>经</w:t>
      </w:r>
      <w:r>
        <w:t>开</w:t>
      </w:r>
      <w:r>
        <w:rPr>
          <w:spacing w:val="-3"/>
        </w:rPr>
        <w:t>立</w:t>
      </w:r>
      <w:r>
        <w:t>深市</w:t>
      </w:r>
      <w:r>
        <w:rPr>
          <w:spacing w:val="-32"/>
        </w:rPr>
        <w:t xml:space="preserve"> </w:t>
      </w:r>
      <w:r>
        <w:t>A</w:t>
      </w:r>
      <w:r>
        <w:rPr>
          <w:spacing w:val="-35"/>
        </w:rPr>
        <w:t xml:space="preserve"> </w:t>
      </w:r>
      <w:r>
        <w:t>股</w:t>
      </w:r>
      <w:r>
        <w:rPr>
          <w:spacing w:val="-3"/>
        </w:rPr>
        <w:t>证</w:t>
      </w:r>
      <w:r>
        <w:t>券</w:t>
      </w:r>
      <w:r>
        <w:rPr>
          <w:spacing w:val="-3"/>
        </w:rPr>
        <w:t>账</w:t>
      </w:r>
      <w:r>
        <w:t>户</w:t>
      </w:r>
      <w:r>
        <w:rPr>
          <w:spacing w:val="-20"/>
        </w:rPr>
        <w:t>，</w:t>
      </w:r>
      <w:r>
        <w:t>开</w:t>
      </w:r>
      <w:r>
        <w:rPr>
          <w:spacing w:val="-3"/>
        </w:rPr>
        <w:t>通</w:t>
      </w:r>
      <w:r>
        <w:t>港股</w:t>
      </w:r>
      <w:r>
        <w:rPr>
          <w:spacing w:val="-3"/>
        </w:rPr>
        <w:t>通</w:t>
      </w:r>
      <w:r>
        <w:t>权</w:t>
      </w:r>
      <w:r>
        <w:rPr>
          <w:spacing w:val="-3"/>
        </w:rPr>
        <w:t>限</w:t>
      </w:r>
      <w:r>
        <w:t>当</w:t>
      </w:r>
      <w:r>
        <w:rPr>
          <w:spacing w:val="-3"/>
        </w:rPr>
        <w:t>日</w:t>
      </w:r>
      <w:r>
        <w:t>即</w:t>
      </w:r>
      <w:r>
        <w:rPr>
          <w:spacing w:val="-3"/>
        </w:rPr>
        <w:t>可</w:t>
      </w:r>
      <w:r>
        <w:t>进</w:t>
      </w:r>
      <w:r>
        <w:rPr>
          <w:spacing w:val="-3"/>
        </w:rPr>
        <w:t>行</w:t>
      </w:r>
      <w:r>
        <w:t>港股</w:t>
      </w:r>
      <w:r>
        <w:rPr>
          <w:spacing w:val="-3"/>
        </w:rPr>
        <w:t>通</w:t>
      </w:r>
      <w:r>
        <w:t>交</w:t>
      </w:r>
      <w:r>
        <w:rPr>
          <w:spacing w:val="-3"/>
        </w:rPr>
        <w:t>易</w:t>
      </w:r>
      <w:r>
        <w:rPr>
          <w:spacing w:val="-17"/>
        </w:rPr>
        <w:t>；</w:t>
      </w:r>
      <w:r>
        <w:rPr>
          <w:spacing w:val="-3"/>
        </w:rPr>
        <w:t>如</w:t>
      </w:r>
      <w:r>
        <w:t>甲</w:t>
      </w:r>
      <w:r>
        <w:rPr>
          <w:spacing w:val="-3"/>
        </w:rPr>
        <w:t>方新</w:t>
      </w:r>
      <w:r>
        <w:t>开</w:t>
      </w:r>
    </w:p>
    <w:p>
      <w:pPr>
        <w:pStyle w:val="3"/>
        <w:spacing w:line="266" w:lineRule="exact"/>
        <w:ind w:right="0" w:firstLine="0"/>
      </w:pPr>
      <w:r>
        <w:t>立深市 A 股证券账户并在当日开通港股通权限，须在次日方可进行港股通交易。</w:t>
      </w:r>
    </w:p>
    <w:p>
      <w:pPr>
        <w:pStyle w:val="3"/>
        <w:tabs>
          <w:tab w:val="left" w:pos="1380"/>
        </w:tabs>
        <w:spacing w:before="43"/>
        <w:ind w:left="535" w:right="0" w:firstLine="0"/>
      </w:pPr>
      <w:r>
        <w:rPr>
          <w:b/>
        </w:rPr>
        <w:t>第七条</w:t>
      </w:r>
      <w:r>
        <w:rPr>
          <w:b/>
        </w:rPr>
        <w:tab/>
      </w:r>
      <w:r>
        <w:rPr>
          <w:spacing w:val="-3"/>
          <w:u w:val="single"/>
        </w:rPr>
        <w:t>乙</w:t>
      </w:r>
      <w:r>
        <w:rPr>
          <w:u w:val="single"/>
        </w:rPr>
        <w:t>方</w:t>
      </w:r>
      <w:r>
        <w:rPr>
          <w:spacing w:val="-3"/>
          <w:u w:val="single"/>
        </w:rPr>
        <w:t>应</w:t>
      </w:r>
      <w:r>
        <w:rPr>
          <w:u w:val="single"/>
        </w:rPr>
        <w:t>及</w:t>
      </w:r>
      <w:r>
        <w:rPr>
          <w:spacing w:val="-3"/>
          <w:u w:val="single"/>
        </w:rPr>
        <w:t>时</w:t>
      </w:r>
      <w:r>
        <w:rPr>
          <w:u w:val="single"/>
        </w:rPr>
        <w:t>为</w:t>
      </w:r>
      <w:r>
        <w:rPr>
          <w:spacing w:val="-3"/>
          <w:u w:val="single"/>
        </w:rPr>
        <w:t>甲</w:t>
      </w:r>
      <w:r>
        <w:rPr>
          <w:u w:val="single"/>
        </w:rPr>
        <w:t>方办</w:t>
      </w:r>
      <w:r>
        <w:rPr>
          <w:spacing w:val="-3"/>
          <w:u w:val="single"/>
        </w:rPr>
        <w:t>理</w:t>
      </w:r>
      <w:r>
        <w:rPr>
          <w:u w:val="single"/>
        </w:rPr>
        <w:t>转</w:t>
      </w:r>
      <w:r>
        <w:rPr>
          <w:spacing w:val="-3"/>
          <w:u w:val="single"/>
        </w:rPr>
        <w:t>托</w:t>
      </w:r>
      <w:r>
        <w:rPr>
          <w:u w:val="single"/>
        </w:rPr>
        <w:t>管</w:t>
      </w:r>
      <w:r>
        <w:rPr>
          <w:spacing w:val="-3"/>
          <w:u w:val="single"/>
        </w:rPr>
        <w:t>业</w:t>
      </w:r>
      <w:r>
        <w:rPr>
          <w:u w:val="single"/>
        </w:rPr>
        <w:t>务</w:t>
      </w:r>
      <w:r>
        <w:rPr>
          <w:spacing w:val="-3"/>
          <w:u w:val="single"/>
        </w:rPr>
        <w:t>，</w:t>
      </w:r>
      <w:r>
        <w:rPr>
          <w:u w:val="single"/>
        </w:rPr>
        <w:t>但</w:t>
      </w:r>
      <w:r>
        <w:rPr>
          <w:spacing w:val="-3"/>
          <w:u w:val="single"/>
        </w:rPr>
        <w:t>在</w:t>
      </w:r>
      <w:r>
        <w:rPr>
          <w:rFonts w:hint="default"/>
          <w:u w:val="single"/>
          <w:lang w:val="en-US"/>
        </w:rPr>
        <w:t>甲</w:t>
      </w:r>
      <w:r>
        <w:rPr>
          <w:u w:val="single"/>
        </w:rPr>
        <w:t>方</w:t>
      </w:r>
      <w:r>
        <w:rPr>
          <w:spacing w:val="-3"/>
          <w:u w:val="single"/>
        </w:rPr>
        <w:t>帐</w:t>
      </w:r>
      <w:r>
        <w:rPr>
          <w:u w:val="single"/>
        </w:rPr>
        <w:t>户</w:t>
      </w:r>
      <w:r>
        <w:rPr>
          <w:spacing w:val="-3"/>
          <w:u w:val="single"/>
        </w:rPr>
        <w:t>存</w:t>
      </w:r>
      <w:r>
        <w:rPr>
          <w:u w:val="single"/>
        </w:rPr>
        <w:t>在</w:t>
      </w:r>
      <w:r>
        <w:rPr>
          <w:spacing w:val="-3"/>
          <w:u w:val="single"/>
        </w:rPr>
        <w:t>以</w:t>
      </w:r>
      <w:r>
        <w:rPr>
          <w:u w:val="single"/>
        </w:rPr>
        <w:t>下</w:t>
      </w:r>
      <w:r>
        <w:rPr>
          <w:spacing w:val="-3"/>
          <w:u w:val="single"/>
        </w:rPr>
        <w:t>情</w:t>
      </w:r>
      <w:r>
        <w:rPr>
          <w:u w:val="single"/>
        </w:rPr>
        <w:t>形</w:t>
      </w:r>
      <w:r>
        <w:rPr>
          <w:spacing w:val="-3"/>
          <w:u w:val="single"/>
        </w:rPr>
        <w:t>时</w:t>
      </w:r>
      <w:r>
        <w:rPr>
          <w:u w:val="single"/>
        </w:rPr>
        <w:t>，不</w:t>
      </w:r>
      <w:r>
        <w:rPr>
          <w:spacing w:val="-3"/>
          <w:u w:val="single"/>
        </w:rPr>
        <w:t>可</w:t>
      </w:r>
      <w:r>
        <w:rPr>
          <w:u w:val="single"/>
        </w:rPr>
        <w:t>以</w:t>
      </w:r>
      <w:r>
        <w:rPr>
          <w:spacing w:val="-3"/>
          <w:u w:val="single"/>
        </w:rPr>
        <w:t>办</w:t>
      </w:r>
      <w:r>
        <w:rPr>
          <w:u w:val="single"/>
        </w:rPr>
        <w:t>理</w:t>
      </w:r>
      <w:r>
        <w:rPr>
          <w:spacing w:val="-3"/>
          <w:u w:val="single"/>
        </w:rPr>
        <w:t>转</w:t>
      </w:r>
      <w:r>
        <w:rPr>
          <w:u w:val="single"/>
        </w:rPr>
        <w:t>托</w:t>
      </w:r>
      <w:r>
        <w:rPr>
          <w:spacing w:val="-3"/>
          <w:u w:val="single"/>
        </w:rPr>
        <w:t>管</w:t>
      </w:r>
      <w:r>
        <w:rPr>
          <w:u w:val="single"/>
        </w:rPr>
        <w:t>：</w:t>
      </w:r>
    </w:p>
    <w:p>
      <w:pPr>
        <w:pStyle w:val="8"/>
        <w:numPr>
          <w:ilvl w:val="0"/>
          <w:numId w:val="1"/>
        </w:numPr>
        <w:tabs>
          <w:tab w:val="left" w:pos="852"/>
        </w:tabs>
        <w:spacing w:before="43" w:after="0" w:line="240" w:lineRule="auto"/>
        <w:ind w:left="851" w:right="0" w:hanging="319"/>
        <w:jc w:val="left"/>
        <w:rPr>
          <w:sz w:val="21"/>
          <w:u w:val="none"/>
        </w:rPr>
      </w:pPr>
      <w:r>
        <w:rPr>
          <w:spacing w:val="-3"/>
          <w:w w:val="100"/>
          <w:sz w:val="21"/>
          <w:u w:val="single"/>
        </w:rPr>
        <w:t>未完成交收证券</w:t>
      </w:r>
      <w:r>
        <w:rPr>
          <w:w w:val="100"/>
          <w:sz w:val="21"/>
          <w:u w:val="single"/>
        </w:rPr>
        <w:t>（</w:t>
      </w:r>
      <w:r>
        <w:rPr>
          <w:spacing w:val="-3"/>
          <w:w w:val="100"/>
          <w:sz w:val="21"/>
          <w:u w:val="single"/>
        </w:rPr>
        <w:t>当日日终交收到账的除外</w:t>
      </w:r>
      <w:r>
        <w:rPr>
          <w:spacing w:val="-106"/>
          <w:w w:val="100"/>
          <w:sz w:val="21"/>
          <w:u w:val="single"/>
        </w:rPr>
        <w:t>）</w:t>
      </w:r>
      <w:r>
        <w:rPr>
          <w:w w:val="100"/>
          <w:sz w:val="21"/>
          <w:u w:val="single"/>
        </w:rPr>
        <w:t>；</w:t>
      </w:r>
    </w:p>
    <w:p>
      <w:pPr>
        <w:pStyle w:val="8"/>
        <w:numPr>
          <w:ilvl w:val="0"/>
          <w:numId w:val="1"/>
        </w:numPr>
        <w:tabs>
          <w:tab w:val="left" w:pos="852"/>
        </w:tabs>
        <w:spacing w:before="45" w:after="0" w:line="240" w:lineRule="auto"/>
        <w:ind w:left="851" w:right="0" w:hanging="319"/>
        <w:jc w:val="left"/>
        <w:rPr>
          <w:sz w:val="21"/>
          <w:u w:val="none"/>
        </w:rPr>
      </w:pPr>
      <w:r>
        <w:rPr>
          <w:spacing w:val="-3"/>
          <w:w w:val="100"/>
          <w:sz w:val="21"/>
          <w:u w:val="single"/>
        </w:rPr>
        <w:t>冻结的证券、权益（整体转托管除外</w:t>
      </w:r>
      <w:r>
        <w:rPr>
          <w:spacing w:val="-108"/>
          <w:w w:val="100"/>
          <w:sz w:val="21"/>
          <w:u w:val="single"/>
        </w:rPr>
        <w:t>）</w:t>
      </w:r>
      <w:r>
        <w:rPr>
          <w:w w:val="100"/>
          <w:sz w:val="21"/>
          <w:u w:val="single"/>
        </w:rPr>
        <w:t>；</w:t>
      </w:r>
    </w:p>
    <w:p>
      <w:pPr>
        <w:pStyle w:val="8"/>
        <w:numPr>
          <w:ilvl w:val="0"/>
          <w:numId w:val="1"/>
        </w:numPr>
        <w:tabs>
          <w:tab w:val="left" w:pos="852"/>
        </w:tabs>
        <w:spacing w:before="43" w:after="0" w:line="240" w:lineRule="auto"/>
        <w:ind w:left="851" w:right="0" w:hanging="319"/>
        <w:jc w:val="left"/>
        <w:rPr>
          <w:sz w:val="21"/>
          <w:u w:val="none"/>
        </w:rPr>
      </w:pPr>
      <w:r>
        <w:rPr>
          <w:spacing w:val="-3"/>
          <w:w w:val="100"/>
          <w:sz w:val="21"/>
          <w:u w:val="single"/>
        </w:rPr>
        <w:t>申报经确认的红利权、收购权</w:t>
      </w:r>
      <w:r>
        <w:rPr>
          <w:w w:val="100"/>
          <w:sz w:val="21"/>
          <w:u w:val="single"/>
        </w:rPr>
        <w:t>（</w:t>
      </w:r>
      <w:r>
        <w:rPr>
          <w:spacing w:val="-3"/>
          <w:w w:val="100"/>
          <w:sz w:val="21"/>
          <w:u w:val="single"/>
        </w:rPr>
        <w:t>整体转托管除外</w:t>
      </w:r>
      <w:r>
        <w:rPr>
          <w:spacing w:val="-108"/>
          <w:w w:val="100"/>
          <w:sz w:val="21"/>
          <w:u w:val="single"/>
        </w:rPr>
        <w:t>）</w:t>
      </w:r>
      <w:r>
        <w:rPr>
          <w:w w:val="100"/>
          <w:sz w:val="21"/>
          <w:u w:val="single"/>
        </w:rPr>
        <w:t>；</w:t>
      </w:r>
    </w:p>
    <w:p>
      <w:pPr>
        <w:pStyle w:val="8"/>
        <w:numPr>
          <w:ilvl w:val="0"/>
          <w:numId w:val="1"/>
        </w:numPr>
        <w:tabs>
          <w:tab w:val="left" w:pos="852"/>
        </w:tabs>
        <w:spacing w:before="45" w:after="0" w:line="240" w:lineRule="auto"/>
        <w:ind w:left="851" w:right="0" w:hanging="319"/>
        <w:jc w:val="left"/>
        <w:rPr>
          <w:sz w:val="21"/>
          <w:u w:val="none"/>
        </w:rPr>
      </w:pPr>
      <w:r>
        <w:rPr>
          <w:spacing w:val="-3"/>
          <w:w w:val="100"/>
          <w:sz w:val="21"/>
          <w:u w:val="single"/>
        </w:rPr>
        <w:t>股利选择权申报、供股认购申报、投票等委托类指令（整体转托管除外</w:t>
      </w:r>
      <w:r>
        <w:rPr>
          <w:spacing w:val="-108"/>
          <w:w w:val="100"/>
          <w:sz w:val="21"/>
          <w:u w:val="single"/>
        </w:rPr>
        <w:t>）</w:t>
      </w:r>
      <w:r>
        <w:rPr>
          <w:w w:val="100"/>
          <w:sz w:val="21"/>
          <w:u w:val="single"/>
        </w:rPr>
        <w:t>；</w:t>
      </w:r>
    </w:p>
    <w:p>
      <w:pPr>
        <w:pStyle w:val="8"/>
        <w:numPr>
          <w:ilvl w:val="0"/>
          <w:numId w:val="1"/>
        </w:numPr>
        <w:tabs>
          <w:tab w:val="left" w:pos="852"/>
        </w:tabs>
        <w:spacing w:before="43" w:after="0" w:line="240" w:lineRule="auto"/>
        <w:ind w:left="851" w:right="0" w:hanging="319"/>
        <w:jc w:val="left"/>
        <w:rPr>
          <w:sz w:val="21"/>
          <w:u w:val="none"/>
        </w:rPr>
      </w:pPr>
      <w:r>
        <w:rPr>
          <w:spacing w:val="-3"/>
          <w:sz w:val="21"/>
          <w:u w:val="single"/>
        </w:rPr>
        <w:t>分拆及合并业务临时代码额度换算期间的原</w:t>
      </w:r>
      <w:r>
        <w:rPr>
          <w:rFonts w:hint="eastAsia"/>
          <w:spacing w:val="-3"/>
          <w:sz w:val="21"/>
          <w:u w:val="single"/>
          <w:lang w:eastAsia="zh-CN"/>
        </w:rPr>
        <w:t>证券</w:t>
      </w:r>
      <w:r>
        <w:rPr>
          <w:spacing w:val="-3"/>
          <w:sz w:val="21"/>
          <w:u w:val="single"/>
        </w:rPr>
        <w:t>代码；</w:t>
      </w:r>
    </w:p>
    <w:p>
      <w:pPr>
        <w:pStyle w:val="8"/>
        <w:numPr>
          <w:ilvl w:val="0"/>
          <w:numId w:val="1"/>
        </w:numPr>
        <w:tabs>
          <w:tab w:val="left" w:pos="851"/>
        </w:tabs>
        <w:spacing w:before="45" w:after="0" w:line="240" w:lineRule="auto"/>
        <w:ind w:left="850" w:right="0" w:hanging="318"/>
        <w:jc w:val="left"/>
        <w:rPr>
          <w:sz w:val="21"/>
          <w:u w:val="none"/>
        </w:rPr>
      </w:pPr>
      <w:r>
        <w:rPr>
          <w:spacing w:val="-3"/>
          <w:sz w:val="21"/>
          <w:u w:val="single"/>
        </w:rPr>
        <w:t>账户为不合格账户、休眠账户；</w:t>
      </w:r>
    </w:p>
    <w:p>
      <w:pPr>
        <w:pStyle w:val="8"/>
        <w:numPr>
          <w:ilvl w:val="0"/>
          <w:numId w:val="1"/>
        </w:numPr>
        <w:tabs>
          <w:tab w:val="left" w:pos="903"/>
        </w:tabs>
        <w:spacing w:before="43" w:after="0" w:line="280" w:lineRule="auto"/>
        <w:ind w:left="113" w:right="329" w:firstLine="420"/>
        <w:jc w:val="left"/>
        <w:rPr>
          <w:sz w:val="21"/>
          <w:u w:val="none"/>
        </w:rPr>
      </w:pPr>
      <w:r>
        <w:rPr>
          <w:spacing w:val="-3"/>
          <w:sz w:val="21"/>
          <w:u w:val="single"/>
        </w:rPr>
        <w:t>相关法律法规、证券登记结算机构业务规则和证券交易所交易规则规定的或者甲乙双方约定的</w:t>
      </w:r>
      <w:r>
        <w:rPr>
          <w:rFonts w:hint="eastAsia"/>
          <w:spacing w:val="-3"/>
          <w:sz w:val="21"/>
        </w:rPr>
        <w:t>其他情形的</w:t>
      </w:r>
      <w:r>
        <w:rPr>
          <w:spacing w:val="-2"/>
          <w:sz w:val="21"/>
          <w:u w:val="single"/>
        </w:rPr>
        <w:t>。</w:t>
      </w:r>
    </w:p>
    <w:p>
      <w:pPr>
        <w:pStyle w:val="3"/>
        <w:spacing w:line="266" w:lineRule="exact"/>
        <w:ind w:left="533" w:right="0" w:firstLine="0"/>
      </w:pPr>
      <w:r>
        <w:rPr>
          <w:u w:val="single"/>
        </w:rPr>
        <w:t>甲方转托管股份，自下一港股通交易日方可卖出。</w:t>
      </w:r>
    </w:p>
    <w:p>
      <w:pPr>
        <w:pStyle w:val="3"/>
        <w:spacing w:before="46" w:line="278" w:lineRule="auto"/>
        <w:ind w:right="229"/>
        <w:jc w:val="both"/>
      </w:pPr>
      <w:r>
        <w:rPr>
          <w:b/>
          <w:color w:val="333333"/>
          <w:spacing w:val="6"/>
        </w:rPr>
        <w:t xml:space="preserve">第八条 </w:t>
      </w:r>
      <w:r>
        <w:rPr>
          <w:color w:val="333333"/>
          <w:spacing w:val="-5"/>
        </w:rPr>
        <w:t>联交所负责发布香港市场证券交易行情信息。甲方应知晓并认可其获得的香港证券市场免费</w:t>
      </w:r>
      <w:r>
        <w:rPr>
          <w:color w:val="333333"/>
          <w:spacing w:val="-7"/>
        </w:rPr>
        <w:t>一档行情与付费方式获得的行情相比，在刷新频率、档位显示等方面存在差异；</w:t>
      </w:r>
      <w:r>
        <w:rPr>
          <w:color w:val="333333"/>
          <w:spacing w:val="-13"/>
          <w:u w:val="single" w:color="333333"/>
        </w:rPr>
        <w:t>甲</w:t>
      </w:r>
      <w:r>
        <w:rPr>
          <w:rFonts w:hint="eastAsia"/>
          <w:color w:val="333333"/>
          <w:spacing w:val="-13"/>
          <w:u w:val="single" w:color="333333"/>
        </w:rPr>
        <w:t>方应仅作为最终用户使用上述行情信息</w:t>
      </w:r>
      <w:r>
        <w:rPr>
          <w:color w:val="333333"/>
          <w:spacing w:val="-7"/>
          <w:u w:val="single" w:color="333333"/>
        </w:rPr>
        <w:t>，未经联交所同意不得将其提供给任何机构或个人，也不得用于开发指数或其他产品；联交所</w:t>
      </w:r>
      <w:r>
        <w:rPr>
          <w:color w:val="333333"/>
          <w:spacing w:val="-6"/>
          <w:u w:val="single" w:color="333333"/>
        </w:rPr>
        <w:t>及其控股公司、该控股公司的附属公司等行情信息提供方，将尽力保证所提供上述行情信息的准确和可靠度，但不能确保其绝对准确和可靠，亦不对因信息不准确或遗漏而导致的任何损失或损害承担责任。</w:t>
      </w:r>
    </w:p>
    <w:p>
      <w:pPr>
        <w:pStyle w:val="3"/>
        <w:tabs>
          <w:tab w:val="left" w:pos="1380"/>
        </w:tabs>
        <w:spacing w:before="4" w:line="278" w:lineRule="auto"/>
        <w:ind w:right="117"/>
      </w:pPr>
      <w:r>
        <w:rPr>
          <w:b/>
        </w:rPr>
        <w:t>第九条</w:t>
      </w:r>
      <w:r>
        <w:rPr>
          <w:b/>
        </w:rPr>
        <w:tab/>
      </w:r>
      <w:r>
        <w:rPr>
          <w:spacing w:val="-3"/>
        </w:rPr>
        <w:t>甲</w:t>
      </w:r>
      <w:r>
        <w:t>方</w:t>
      </w:r>
      <w:r>
        <w:rPr>
          <w:spacing w:val="-3"/>
        </w:rPr>
        <w:t>向</w:t>
      </w:r>
      <w:r>
        <w:t>乙</w:t>
      </w:r>
      <w:r>
        <w:rPr>
          <w:spacing w:val="-3"/>
        </w:rPr>
        <w:t>方</w:t>
      </w:r>
      <w:r>
        <w:t>下</w:t>
      </w:r>
      <w:r>
        <w:rPr>
          <w:spacing w:val="-3"/>
        </w:rPr>
        <w:t>达</w:t>
      </w:r>
      <w:r>
        <w:t>委托</w:t>
      </w:r>
      <w:r>
        <w:rPr>
          <w:spacing w:val="-3"/>
        </w:rPr>
        <w:t>指</w:t>
      </w:r>
      <w:r>
        <w:t>令</w:t>
      </w:r>
      <w:r>
        <w:rPr>
          <w:spacing w:val="-3"/>
        </w:rPr>
        <w:t>的</w:t>
      </w:r>
      <w:r>
        <w:t>方</w:t>
      </w:r>
      <w:r>
        <w:rPr>
          <w:spacing w:val="-3"/>
        </w:rPr>
        <w:t>式</w:t>
      </w:r>
      <w:r>
        <w:t>由</w:t>
      </w:r>
      <w:r>
        <w:rPr>
          <w:spacing w:val="-3"/>
        </w:rPr>
        <w:t>双</w:t>
      </w:r>
      <w:r>
        <w:t>方</w:t>
      </w:r>
      <w:r>
        <w:rPr>
          <w:spacing w:val="-3"/>
        </w:rPr>
        <w:t>约</w:t>
      </w:r>
      <w:r>
        <w:t>定</w:t>
      </w:r>
      <w:r>
        <w:rPr>
          <w:spacing w:val="-34"/>
        </w:rPr>
        <w:t>。</w:t>
      </w:r>
      <w:r>
        <w:rPr>
          <w:spacing w:val="-3"/>
        </w:rPr>
        <w:t>甲</w:t>
      </w:r>
      <w:r>
        <w:t>方</w:t>
      </w:r>
      <w:r>
        <w:rPr>
          <w:spacing w:val="-3"/>
        </w:rPr>
        <w:t>向</w:t>
      </w:r>
      <w:r>
        <w:t>乙</w:t>
      </w:r>
      <w:r>
        <w:rPr>
          <w:spacing w:val="-3"/>
        </w:rPr>
        <w:t>方</w:t>
      </w:r>
      <w:r>
        <w:t>下</w:t>
      </w:r>
      <w:r>
        <w:rPr>
          <w:spacing w:val="-3"/>
        </w:rPr>
        <w:t>达</w:t>
      </w:r>
      <w:r>
        <w:t>委</w:t>
      </w:r>
      <w:r>
        <w:rPr>
          <w:spacing w:val="-3"/>
        </w:rPr>
        <w:t>托</w:t>
      </w:r>
      <w:r>
        <w:t>指令</w:t>
      </w:r>
      <w:r>
        <w:rPr>
          <w:spacing w:val="-3"/>
        </w:rPr>
        <w:t>的</w:t>
      </w:r>
      <w:r>
        <w:t>方</w:t>
      </w:r>
      <w:r>
        <w:rPr>
          <w:spacing w:val="-3"/>
        </w:rPr>
        <w:t>式</w:t>
      </w:r>
      <w:r>
        <w:t>包</w:t>
      </w:r>
      <w:r>
        <w:rPr>
          <w:spacing w:val="-3"/>
        </w:rPr>
        <w:t>括</w:t>
      </w:r>
      <w:r>
        <w:t>柜</w:t>
      </w:r>
      <w:r>
        <w:rPr>
          <w:spacing w:val="-3"/>
        </w:rPr>
        <w:t>台</w:t>
      </w:r>
      <w:r>
        <w:t>委</w:t>
      </w:r>
      <w:r>
        <w:rPr>
          <w:spacing w:val="-5"/>
        </w:rPr>
        <w:t>托</w:t>
      </w:r>
      <w:r>
        <w:t>、自助</w:t>
      </w:r>
      <w:r>
        <w:rPr>
          <w:spacing w:val="-3"/>
        </w:rPr>
        <w:t>委</w:t>
      </w:r>
      <w:r>
        <w:t>托</w:t>
      </w:r>
      <w:r>
        <w:rPr>
          <w:spacing w:val="-3"/>
        </w:rPr>
        <w:t>以</w:t>
      </w:r>
      <w:r>
        <w:t>及</w:t>
      </w:r>
      <w:r>
        <w:rPr>
          <w:spacing w:val="-3"/>
        </w:rPr>
        <w:t>乙</w:t>
      </w:r>
      <w:r>
        <w:t>方</w:t>
      </w:r>
      <w:r>
        <w:rPr>
          <w:spacing w:val="-3"/>
        </w:rPr>
        <w:t>认</w:t>
      </w:r>
      <w:r>
        <w:t>可</w:t>
      </w:r>
      <w:r>
        <w:rPr>
          <w:spacing w:val="-3"/>
        </w:rPr>
        <w:t>的</w:t>
      </w:r>
      <w:r>
        <w:t>其他</w:t>
      </w:r>
      <w:r>
        <w:rPr>
          <w:spacing w:val="-3"/>
        </w:rPr>
        <w:t>合</w:t>
      </w:r>
      <w:r>
        <w:t>法</w:t>
      </w:r>
      <w:r>
        <w:rPr>
          <w:spacing w:val="-3"/>
        </w:rPr>
        <w:t>委</w:t>
      </w:r>
      <w:r>
        <w:t>托</w:t>
      </w:r>
      <w:r>
        <w:rPr>
          <w:spacing w:val="-3"/>
        </w:rPr>
        <w:t>方</w:t>
      </w:r>
      <w:r>
        <w:t>式</w:t>
      </w:r>
      <w:r>
        <w:rPr>
          <w:spacing w:val="-10"/>
        </w:rPr>
        <w:t>。</w:t>
      </w:r>
      <w:r>
        <w:t>自</w:t>
      </w:r>
      <w:r>
        <w:rPr>
          <w:spacing w:val="-3"/>
        </w:rPr>
        <w:t>助</w:t>
      </w:r>
      <w:r>
        <w:t>委托</w:t>
      </w:r>
      <w:r>
        <w:rPr>
          <w:spacing w:val="-3"/>
        </w:rPr>
        <w:t>包</w:t>
      </w:r>
      <w:r>
        <w:t>括</w:t>
      </w:r>
      <w:r>
        <w:rPr>
          <w:spacing w:val="-3"/>
        </w:rPr>
        <w:t>网</w:t>
      </w:r>
      <w:r>
        <w:t>上</w:t>
      </w:r>
      <w:r>
        <w:rPr>
          <w:spacing w:val="-3"/>
        </w:rPr>
        <w:t>委</w:t>
      </w:r>
      <w:r>
        <w:t>托</w:t>
      </w:r>
      <w:r>
        <w:rPr>
          <w:spacing w:val="-10"/>
        </w:rPr>
        <w:t>、</w:t>
      </w:r>
      <w:r>
        <w:t>电</w:t>
      </w:r>
      <w:r>
        <w:rPr>
          <w:spacing w:val="-3"/>
        </w:rPr>
        <w:t>话</w:t>
      </w:r>
      <w:r>
        <w:t>委托</w:t>
      </w:r>
      <w:r>
        <w:rPr>
          <w:spacing w:val="-10"/>
        </w:rPr>
        <w:t>、</w:t>
      </w:r>
      <w:r>
        <w:t>热</w:t>
      </w:r>
      <w:r>
        <w:rPr>
          <w:spacing w:val="-3"/>
        </w:rPr>
        <w:t>键</w:t>
      </w:r>
      <w:r>
        <w:t>委</w:t>
      </w:r>
      <w:r>
        <w:rPr>
          <w:spacing w:val="-3"/>
        </w:rPr>
        <w:t>托</w:t>
      </w:r>
      <w:r>
        <w:t>等</w:t>
      </w:r>
      <w:r>
        <w:rPr>
          <w:spacing w:val="-10"/>
        </w:rPr>
        <w:t>，</w:t>
      </w:r>
      <w:r>
        <w:t>具</w:t>
      </w:r>
      <w:r>
        <w:rPr>
          <w:spacing w:val="-3"/>
        </w:rPr>
        <w:t>体委</w:t>
      </w:r>
      <w:r>
        <w:t>托方式</w:t>
      </w:r>
      <w:r>
        <w:rPr>
          <w:spacing w:val="-3"/>
        </w:rPr>
        <w:t>以</w:t>
      </w:r>
      <w:r>
        <w:t>实</w:t>
      </w:r>
      <w:r>
        <w:rPr>
          <w:spacing w:val="-3"/>
        </w:rPr>
        <w:t>际</w:t>
      </w:r>
      <w:r>
        <w:t>开</w:t>
      </w:r>
      <w:r>
        <w:rPr>
          <w:spacing w:val="-3"/>
        </w:rPr>
        <w:t>通</w:t>
      </w:r>
      <w:r>
        <w:t>为</w:t>
      </w:r>
      <w:r>
        <w:rPr>
          <w:spacing w:val="-3"/>
        </w:rPr>
        <w:t>准</w:t>
      </w:r>
      <w:r>
        <w:t>。</w:t>
      </w:r>
    </w:p>
    <w:p>
      <w:pPr>
        <w:pStyle w:val="3"/>
        <w:spacing w:before="4" w:line="278" w:lineRule="auto"/>
        <w:jc w:val="both"/>
      </w:pPr>
      <w:r>
        <w:rPr>
          <w:b/>
          <w:spacing w:val="12"/>
        </w:rPr>
        <w:t xml:space="preserve">第十条 </w:t>
      </w:r>
      <w:r>
        <w:rPr>
          <w:spacing w:val="-4"/>
          <w:u w:val="single"/>
        </w:rPr>
        <w:t>甲方通过本协议第九条约定的委托交易方式下达的委托指令均以乙方电脑记录资料为准。</w:t>
      </w:r>
      <w:r>
        <w:rPr>
          <w:rFonts w:hint="eastAsia"/>
          <w:spacing w:val="-4"/>
          <w:u w:val="single"/>
        </w:rPr>
        <w:t>甲方进行柜台委托时</w:t>
      </w:r>
      <w:r>
        <w:rPr>
          <w:spacing w:val="-5"/>
          <w:u w:val="single"/>
        </w:rPr>
        <w:t>，必须提供委托人</w:t>
      </w:r>
      <w:r>
        <w:rPr>
          <w:u w:val="single"/>
        </w:rPr>
        <w:t>（</w:t>
      </w:r>
      <w:r>
        <w:rPr>
          <w:spacing w:val="-3"/>
          <w:u w:val="single"/>
        </w:rPr>
        <w:t>指甲方本人或其授权代理人</w:t>
      </w:r>
      <w:r>
        <w:rPr>
          <w:spacing w:val="-5"/>
          <w:u w:val="single"/>
        </w:rPr>
        <w:t>）</w:t>
      </w:r>
      <w:r>
        <w:rPr>
          <w:spacing w:val="-6"/>
          <w:u w:val="single"/>
        </w:rPr>
        <w:t>身份证，并填写委托单，否则，乙方有权</w:t>
      </w:r>
      <w:r>
        <w:rPr>
          <w:spacing w:val="-3"/>
          <w:u w:val="single"/>
        </w:rPr>
        <w:t>拒绝受理甲方的委托，由此造成的后果由甲方承担。</w:t>
      </w:r>
    </w:p>
    <w:p>
      <w:pPr>
        <w:pStyle w:val="3"/>
        <w:spacing w:before="3" w:line="280" w:lineRule="auto"/>
        <w:ind w:right="220" w:firstLine="420"/>
      </w:pPr>
      <w:r>
        <w:rPr>
          <w:spacing w:val="-1"/>
          <w:u w:val="single"/>
        </w:rPr>
        <w:t>甲方在使用非柜台委托方式进行证券交易时，必须严格按照乙方证券交易委托系统的提示进行操作，</w:t>
      </w:r>
      <w:r>
        <w:rPr>
          <w:spacing w:val="-192"/>
          <w:u w:val="single"/>
        </w:rPr>
        <w:t>因</w:t>
      </w:r>
      <w:r>
        <w:rPr>
          <w:spacing w:val="-3"/>
          <w:u w:val="single"/>
        </w:rPr>
        <w:t>甲方操作失误造成的损失由甲方自行承担。</w:t>
      </w:r>
    </w:p>
    <w:p>
      <w:pPr>
        <w:pStyle w:val="3"/>
        <w:spacing w:line="278" w:lineRule="auto"/>
        <w:jc w:val="both"/>
      </w:pPr>
      <w:r>
        <w:rPr>
          <w:b/>
          <w:spacing w:val="10"/>
        </w:rPr>
        <w:t xml:space="preserve">第十一条 </w:t>
      </w:r>
      <w:r>
        <w:rPr>
          <w:spacing w:val="-6"/>
          <w:u w:val="single"/>
        </w:rPr>
        <w:t>甲方进行网上委托时，只能使用乙方直接提供给甲方的软件，</w:t>
      </w:r>
      <w:r>
        <w:rPr>
          <w:rFonts w:hint="eastAsia"/>
          <w:spacing w:val="-6"/>
          <w:u w:val="single"/>
        </w:rPr>
        <w:t>或甲方依照乙方指示从乙方指定站点下载的软件</w:t>
      </w:r>
      <w:r>
        <w:rPr>
          <w:spacing w:val="-6"/>
          <w:u w:val="single"/>
        </w:rPr>
        <w:t>。甲方使用其他途径获得的软件进行网上委托所产生的后果、风险和损失由甲方自行承担</w:t>
      </w:r>
      <w:r>
        <w:rPr>
          <w:spacing w:val="-195"/>
          <w:u w:val="single"/>
        </w:rPr>
        <w:t>。</w:t>
      </w:r>
    </w:p>
    <w:p>
      <w:pPr>
        <w:pStyle w:val="3"/>
        <w:spacing w:before="1" w:line="278" w:lineRule="auto"/>
        <w:ind w:firstLine="420"/>
        <w:jc w:val="both"/>
      </w:pPr>
      <w:r>
        <w:rPr>
          <w:spacing w:val="-4"/>
        </w:rPr>
        <w:t>网上委托是指甲方通过互联网或移动通讯网络向乙方网上委托系统下达委托指令、获取成交结果的服</w:t>
      </w:r>
      <w:r>
        <w:rPr>
          <w:spacing w:val="-7"/>
        </w:rPr>
        <w:t>务方式。网上委托的上网终端包括电子计算机、手机等通过互联网或移动通讯网络连接乙方委托系统的设备。</w:t>
      </w:r>
    </w:p>
    <w:p>
      <w:pPr>
        <w:pStyle w:val="3"/>
        <w:spacing w:before="2" w:line="280" w:lineRule="auto"/>
        <w:jc w:val="both"/>
      </w:pPr>
      <w:r>
        <w:rPr>
          <w:b/>
        </w:rPr>
        <w:t xml:space="preserve">第十二条 </w:t>
      </w:r>
      <w:r>
        <w:t>甲乙双方可以书面方式约定本协议第九条约定的委托方式之外的其他委托方式，并约定该委托方式的执行程序、身份验证方式等内容。</w:t>
      </w:r>
    </w:p>
    <w:p>
      <w:pPr>
        <w:pStyle w:val="3"/>
        <w:spacing w:line="280" w:lineRule="auto"/>
        <w:jc w:val="both"/>
      </w:pPr>
      <w:r>
        <w:rPr>
          <w:b/>
          <w:spacing w:val="21"/>
        </w:rPr>
        <w:t xml:space="preserve">第十三条 </w:t>
      </w:r>
      <w:r>
        <w:t>甲方委托乙方代理其进行港股通交易而发出的委托及撤销委托等指令的内容和方式应符</w:t>
      </w:r>
      <w:r>
        <w:rPr>
          <w:spacing w:val="-4"/>
        </w:rPr>
        <w:t>合相关交易规则及本协议的相关约定。</w:t>
      </w:r>
      <w:r>
        <w:rPr>
          <w:spacing w:val="-4"/>
          <w:u w:val="single"/>
        </w:rPr>
        <w:t>甲方通过乙方委托系统进行港股通交易时，</w:t>
      </w:r>
      <w:r>
        <w:rPr>
          <w:rFonts w:hint="eastAsia"/>
          <w:spacing w:val="-4"/>
          <w:u w:val="single"/>
        </w:rPr>
        <w:t>如因甲方操作失误或因甲方指令违反相关交易规则或本协议约定</w:t>
      </w:r>
      <w:r>
        <w:rPr>
          <w:spacing w:val="-3"/>
          <w:u w:val="single"/>
        </w:rPr>
        <w:t>，或其他可归咎于甲方的原因而造成损失的，由甲方承担。</w:t>
      </w:r>
    </w:p>
    <w:p>
      <w:pPr>
        <w:pStyle w:val="3"/>
        <w:spacing w:line="278" w:lineRule="auto"/>
        <w:ind w:right="229"/>
        <w:jc w:val="both"/>
      </w:pPr>
      <w:r>
        <w:rPr>
          <w:b/>
          <w:spacing w:val="8"/>
        </w:rPr>
        <w:t xml:space="preserve">第十四条 </w:t>
      </w:r>
      <w:r>
        <w:rPr>
          <w:spacing w:val="-5"/>
          <w:u w:val="single"/>
        </w:rPr>
        <w:t>甲方在进行委托前须确保已完全了解有关交易规则，</w:t>
      </w:r>
      <w:r>
        <w:rPr>
          <w:rFonts w:hint="eastAsia"/>
          <w:spacing w:val="-5"/>
          <w:u w:val="single"/>
        </w:rPr>
        <w:t>如甲方发出的指令被乙方委托系统或证券交易所交易系统拒绝受理，则该委托应视为无效委托</w:t>
      </w:r>
      <w:r>
        <w:rPr>
          <w:u w:val="single"/>
        </w:rPr>
        <w:t>。由此导致的后果、风险和损失，由甲方承担。</w:t>
      </w:r>
    </w:p>
    <w:p>
      <w:pPr>
        <w:pStyle w:val="3"/>
        <w:spacing w:line="278" w:lineRule="auto"/>
        <w:jc w:val="both"/>
      </w:pPr>
      <w:r>
        <w:rPr>
          <w:b/>
          <w:spacing w:val="10"/>
        </w:rPr>
        <w:t xml:space="preserve">第十五条 </w:t>
      </w:r>
      <w:r>
        <w:rPr>
          <w:spacing w:val="-6"/>
          <w:u w:val="single"/>
        </w:rPr>
        <w:t>乙方接受甲方委托指令时，</w:t>
      </w:r>
      <w:r>
        <w:rPr>
          <w:rFonts w:hint="eastAsia"/>
          <w:spacing w:val="-6"/>
          <w:u w:val="single"/>
        </w:rPr>
        <w:t>如果出现由于甲方原委托指令未撤销而造成乙方无法执行甲方新的委托指令时，由此导致的后果、风险和损失</w:t>
      </w:r>
      <w:r>
        <w:rPr>
          <w:spacing w:val="-3"/>
          <w:u w:val="single"/>
        </w:rPr>
        <w:t>，由甲方承担。</w:t>
      </w:r>
    </w:p>
    <w:p>
      <w:pPr>
        <w:pStyle w:val="3"/>
        <w:spacing w:line="278" w:lineRule="auto"/>
        <w:jc w:val="both"/>
      </w:pPr>
      <w:r>
        <w:rPr>
          <w:b/>
          <w:spacing w:val="10"/>
        </w:rPr>
        <w:t xml:space="preserve">第十六条 </w:t>
      </w:r>
      <w:r>
        <w:rPr>
          <w:spacing w:val="-5"/>
          <w:u w:val="single"/>
        </w:rPr>
        <w:t>甲方在委托有效期内可对未显示成交回报的委托发出撤销委托指令</w:t>
      </w:r>
      <w:r>
        <w:rPr>
          <w:spacing w:val="-3"/>
          <w:u w:val="single"/>
        </w:rPr>
        <w:t>（</w:t>
      </w:r>
      <w:r>
        <w:rPr>
          <w:rFonts w:hint="eastAsia"/>
          <w:spacing w:val="-3"/>
          <w:u w:val="single"/>
        </w:rPr>
        <w:t>交易规则另有规定的除外），但由于市场价格随时波动及成交回报速度的原因</w:t>
      </w:r>
      <w:r>
        <w:rPr>
          <w:spacing w:val="-13"/>
          <w:u w:val="single"/>
        </w:rPr>
        <w:t>，甲方的撤销委托指令虽经乙方发出，但甲方委托可能</w:t>
      </w:r>
      <w:r>
        <w:rPr>
          <w:spacing w:val="-3"/>
          <w:u w:val="single"/>
        </w:rPr>
        <w:t>已在市场成交，此时甲方应承认并接受该成交结果。</w:t>
      </w:r>
    </w:p>
    <w:p>
      <w:pPr>
        <w:pStyle w:val="3"/>
        <w:tabs>
          <w:tab w:val="left" w:pos="1591"/>
        </w:tabs>
        <w:spacing w:before="44" w:line="280" w:lineRule="auto"/>
        <w:ind w:right="117"/>
      </w:pPr>
      <w:r>
        <w:rPr>
          <w:b/>
        </w:rPr>
        <w:t>第十七条</w:t>
      </w:r>
      <w:r>
        <w:rPr>
          <w:b/>
        </w:rPr>
        <w:tab/>
      </w:r>
      <w:r>
        <w:rPr>
          <w:spacing w:val="-3"/>
        </w:rPr>
        <w:t>甲</w:t>
      </w:r>
      <w:r>
        <w:t>方</w:t>
      </w:r>
      <w:r>
        <w:rPr>
          <w:spacing w:val="-3"/>
        </w:rPr>
        <w:t>委</w:t>
      </w:r>
      <w:r>
        <w:t>托</w:t>
      </w:r>
      <w:r>
        <w:rPr>
          <w:spacing w:val="-3"/>
        </w:rPr>
        <w:t>指令</w:t>
      </w:r>
      <w:r>
        <w:t>成交</w:t>
      </w:r>
      <w:r>
        <w:rPr>
          <w:spacing w:val="-3"/>
        </w:rPr>
        <w:t>与</w:t>
      </w:r>
      <w:r>
        <w:t>否</w:t>
      </w:r>
      <w:r>
        <w:rPr>
          <w:spacing w:val="-3"/>
        </w:rPr>
        <w:t>以</w:t>
      </w:r>
      <w:r>
        <w:t>证</w:t>
      </w:r>
      <w:r>
        <w:rPr>
          <w:spacing w:val="-3"/>
        </w:rPr>
        <w:t>券</w:t>
      </w:r>
      <w:r>
        <w:t>登</w:t>
      </w:r>
      <w:r>
        <w:rPr>
          <w:spacing w:val="-3"/>
        </w:rPr>
        <w:t>记</w:t>
      </w:r>
      <w:r>
        <w:t>结</w:t>
      </w:r>
      <w:r>
        <w:rPr>
          <w:spacing w:val="-3"/>
        </w:rPr>
        <w:t>算</w:t>
      </w:r>
      <w:r>
        <w:t>机构</w:t>
      </w:r>
      <w:r>
        <w:rPr>
          <w:spacing w:val="-3"/>
        </w:rPr>
        <w:t>发</w:t>
      </w:r>
      <w:r>
        <w:t>送</w:t>
      </w:r>
      <w:r>
        <w:rPr>
          <w:spacing w:val="-3"/>
        </w:rPr>
        <w:t>的</w:t>
      </w:r>
      <w:r>
        <w:t>清</w:t>
      </w:r>
      <w:r>
        <w:rPr>
          <w:spacing w:val="-3"/>
        </w:rPr>
        <w:t>算</w:t>
      </w:r>
      <w:r>
        <w:t>数</w:t>
      </w:r>
      <w:r>
        <w:rPr>
          <w:spacing w:val="-3"/>
        </w:rPr>
        <w:t>据</w:t>
      </w:r>
      <w:r>
        <w:t>为</w:t>
      </w:r>
      <w:r>
        <w:rPr>
          <w:spacing w:val="-3"/>
        </w:rPr>
        <w:t>准</w:t>
      </w:r>
      <w:r>
        <w:rPr>
          <w:spacing w:val="-34"/>
        </w:rPr>
        <w:t>，</w:t>
      </w:r>
      <w:r>
        <w:rPr>
          <w:spacing w:val="-3"/>
        </w:rPr>
        <w:t>成</w:t>
      </w:r>
      <w:r>
        <w:t>交</w:t>
      </w:r>
      <w:r>
        <w:rPr>
          <w:spacing w:val="-3"/>
        </w:rPr>
        <w:t>即</w:t>
      </w:r>
      <w:r>
        <w:t>时</w:t>
      </w:r>
      <w:r>
        <w:rPr>
          <w:spacing w:val="-3"/>
        </w:rPr>
        <w:t>回</w:t>
      </w:r>
      <w:r>
        <w:t>报</w:t>
      </w:r>
      <w:r>
        <w:rPr>
          <w:spacing w:val="-3"/>
        </w:rPr>
        <w:t>仅</w:t>
      </w:r>
      <w:r>
        <w:t>供</w:t>
      </w:r>
      <w:r>
        <w:rPr>
          <w:spacing w:val="-3"/>
        </w:rPr>
        <w:t>参考</w:t>
      </w:r>
      <w:r>
        <w:t>。由于</w:t>
      </w:r>
      <w:r>
        <w:rPr>
          <w:spacing w:val="-3"/>
        </w:rPr>
        <w:t>市</w:t>
      </w:r>
      <w:r>
        <w:t>场</w:t>
      </w:r>
      <w:r>
        <w:rPr>
          <w:spacing w:val="-3"/>
        </w:rPr>
        <w:t>或</w:t>
      </w:r>
      <w:r>
        <w:t>设</w:t>
      </w:r>
      <w:r>
        <w:rPr>
          <w:spacing w:val="-3"/>
        </w:rPr>
        <w:t>备</w:t>
      </w:r>
      <w:r>
        <w:rPr>
          <w:spacing w:val="-15"/>
        </w:rPr>
        <w:t>、</w:t>
      </w:r>
      <w:r>
        <w:rPr>
          <w:spacing w:val="-3"/>
        </w:rPr>
        <w:t>网</w:t>
      </w:r>
      <w:r>
        <w:t>络</w:t>
      </w:r>
      <w:r>
        <w:rPr>
          <w:spacing w:val="-3"/>
        </w:rPr>
        <w:t>通</w:t>
      </w:r>
      <w:r>
        <w:t>讯等</w:t>
      </w:r>
      <w:r>
        <w:rPr>
          <w:spacing w:val="-3"/>
        </w:rPr>
        <w:t>技</w:t>
      </w:r>
      <w:r>
        <w:t>术</w:t>
      </w:r>
      <w:r>
        <w:rPr>
          <w:spacing w:val="-3"/>
        </w:rPr>
        <w:t>原</w:t>
      </w:r>
      <w:r>
        <w:t>因</w:t>
      </w:r>
      <w:r>
        <w:rPr>
          <w:spacing w:val="-17"/>
        </w:rPr>
        <w:t>，</w:t>
      </w:r>
      <w:r>
        <w:t>如</w:t>
      </w:r>
      <w:r>
        <w:rPr>
          <w:spacing w:val="-3"/>
        </w:rPr>
        <w:t>果</w:t>
      </w:r>
      <w:r>
        <w:t>出</w:t>
      </w:r>
      <w:r>
        <w:rPr>
          <w:spacing w:val="-3"/>
        </w:rPr>
        <w:t>现</w:t>
      </w:r>
      <w:r>
        <w:t>高于</w:t>
      </w:r>
      <w:r>
        <w:rPr>
          <w:spacing w:val="-3"/>
        </w:rPr>
        <w:t>甲</w:t>
      </w:r>
      <w:r>
        <w:t>方</w:t>
      </w:r>
      <w:r>
        <w:rPr>
          <w:spacing w:val="-3"/>
        </w:rPr>
        <w:t>委</w:t>
      </w:r>
      <w:r>
        <w:t>托</w:t>
      </w:r>
      <w:r>
        <w:rPr>
          <w:spacing w:val="-3"/>
        </w:rPr>
        <w:t>卖</w:t>
      </w:r>
      <w:r>
        <w:t>出</w:t>
      </w:r>
      <w:r>
        <w:rPr>
          <w:spacing w:val="-3"/>
        </w:rPr>
        <w:t>价</w:t>
      </w:r>
      <w:r>
        <w:t>格或者低</w:t>
      </w:r>
      <w:r>
        <w:rPr>
          <w:spacing w:val="-3"/>
        </w:rPr>
        <w:t>于</w:t>
      </w:r>
      <w:r>
        <w:t>甲</w:t>
      </w:r>
      <w:r>
        <w:rPr>
          <w:spacing w:val="-3"/>
        </w:rPr>
        <w:t>方</w:t>
      </w:r>
      <w:r>
        <w:t>委</w:t>
      </w:r>
      <w:r>
        <w:rPr>
          <w:spacing w:val="-3"/>
        </w:rPr>
        <w:t>托</w:t>
      </w:r>
      <w:r>
        <w:t>买</w:t>
      </w:r>
      <w:r>
        <w:rPr>
          <w:spacing w:val="-3"/>
        </w:rPr>
        <w:t>入</w:t>
      </w:r>
      <w:r>
        <w:t>价</w:t>
      </w:r>
      <w:r>
        <w:rPr>
          <w:spacing w:val="-3"/>
        </w:rPr>
        <w:t>格的</w:t>
      </w:r>
      <w:r>
        <w:t>成交价</w:t>
      </w:r>
      <w:r>
        <w:rPr>
          <w:spacing w:val="-3"/>
        </w:rPr>
        <w:t>后</w:t>
      </w:r>
      <w:r>
        <w:t>长</w:t>
      </w:r>
      <w:r>
        <w:rPr>
          <w:spacing w:val="-3"/>
        </w:rPr>
        <w:t>时</w:t>
      </w:r>
      <w:r>
        <w:t>间</w:t>
      </w:r>
      <w:r>
        <w:rPr>
          <w:spacing w:val="-3"/>
        </w:rPr>
        <w:t>仍</w:t>
      </w:r>
      <w:r>
        <w:t>无</w:t>
      </w:r>
      <w:r>
        <w:rPr>
          <w:spacing w:val="-3"/>
        </w:rPr>
        <w:t>成</w:t>
      </w:r>
      <w:r>
        <w:t>交</w:t>
      </w:r>
      <w:r>
        <w:rPr>
          <w:spacing w:val="-3"/>
        </w:rPr>
        <w:t>即</w:t>
      </w:r>
      <w:r>
        <w:t>时回</w:t>
      </w:r>
      <w:r>
        <w:rPr>
          <w:spacing w:val="-3"/>
        </w:rPr>
        <w:t>报</w:t>
      </w:r>
      <w:r>
        <w:t>的</w:t>
      </w:r>
      <w:r>
        <w:rPr>
          <w:spacing w:val="-3"/>
        </w:rPr>
        <w:t>情</w:t>
      </w:r>
      <w:r>
        <w:t>况</w:t>
      </w:r>
      <w:r>
        <w:rPr>
          <w:spacing w:val="-32"/>
        </w:rPr>
        <w:t>，</w:t>
      </w:r>
      <w:r>
        <w:t>此</w:t>
      </w:r>
      <w:r>
        <w:rPr>
          <w:spacing w:val="-3"/>
        </w:rPr>
        <w:t>时</w:t>
      </w:r>
      <w:r>
        <w:t>甲</w:t>
      </w:r>
      <w:r>
        <w:rPr>
          <w:spacing w:val="-3"/>
        </w:rPr>
        <w:t>方</w:t>
      </w:r>
      <w:r>
        <w:t>委托</w:t>
      </w:r>
      <w:r>
        <w:rPr>
          <w:spacing w:val="-3"/>
        </w:rPr>
        <w:t>指</w:t>
      </w:r>
      <w:r>
        <w:t>令</w:t>
      </w:r>
      <w:r>
        <w:rPr>
          <w:spacing w:val="-3"/>
        </w:rPr>
        <w:t>成</w:t>
      </w:r>
      <w:r>
        <w:t>交</w:t>
      </w:r>
      <w:r>
        <w:rPr>
          <w:spacing w:val="-3"/>
        </w:rPr>
        <w:t>与</w:t>
      </w:r>
      <w:r>
        <w:t>否</w:t>
      </w:r>
      <w:r>
        <w:rPr>
          <w:spacing w:val="-3"/>
        </w:rPr>
        <w:t>一</w:t>
      </w:r>
      <w:r>
        <w:t>律</w:t>
      </w:r>
      <w:r>
        <w:rPr>
          <w:spacing w:val="-3"/>
        </w:rPr>
        <w:t>以</w:t>
      </w:r>
      <w:r>
        <w:t>证券</w:t>
      </w:r>
      <w:r>
        <w:rPr>
          <w:spacing w:val="-3"/>
        </w:rPr>
        <w:t>登</w:t>
      </w:r>
      <w:r>
        <w:t>记</w:t>
      </w:r>
      <w:r>
        <w:rPr>
          <w:spacing w:val="-3"/>
        </w:rPr>
        <w:t>结</w:t>
      </w:r>
      <w:r>
        <w:t>算</w:t>
      </w:r>
      <w:r>
        <w:rPr>
          <w:spacing w:val="-3"/>
        </w:rPr>
        <w:t>机</w:t>
      </w:r>
      <w:r>
        <w:t>构</w:t>
      </w:r>
      <w:r>
        <w:rPr>
          <w:spacing w:val="-3"/>
        </w:rPr>
        <w:t>发</w:t>
      </w:r>
      <w:r>
        <w:t>送</w:t>
      </w:r>
      <w:r>
        <w:rPr>
          <w:spacing w:val="-3"/>
        </w:rPr>
        <w:t>的清</w:t>
      </w:r>
      <w:r>
        <w:t>算数据</w:t>
      </w:r>
      <w:r>
        <w:rPr>
          <w:spacing w:val="-3"/>
        </w:rPr>
        <w:t>为</w:t>
      </w:r>
      <w:r>
        <w:t>准。</w:t>
      </w:r>
    </w:p>
    <w:p>
      <w:pPr>
        <w:pStyle w:val="3"/>
        <w:spacing w:line="278" w:lineRule="auto"/>
        <w:jc w:val="both"/>
      </w:pPr>
      <w:r>
        <w:rPr>
          <w:b/>
          <w:spacing w:val="8"/>
        </w:rPr>
        <w:t xml:space="preserve">第十八条 </w:t>
      </w:r>
      <w:r>
        <w:rPr>
          <w:spacing w:val="-4"/>
        </w:rPr>
        <w:t>甲方申请办理托管单元变更</w:t>
      </w:r>
      <w:r>
        <w:t>（</w:t>
      </w:r>
      <w:r>
        <w:rPr>
          <w:spacing w:val="-3"/>
        </w:rPr>
        <w:t>整体转托管除外</w:t>
      </w:r>
      <w:r>
        <w:rPr>
          <w:spacing w:val="-10"/>
        </w:rPr>
        <w:t>）</w:t>
      </w:r>
      <w:r>
        <w:rPr>
          <w:spacing w:val="-5"/>
        </w:rPr>
        <w:t>时，乙方应提醒甲方，对于持股基准日晚</w:t>
      </w:r>
      <w:r>
        <w:rPr>
          <w:spacing w:val="-7"/>
        </w:rPr>
        <w:t>于转托管申报日的投票、境内申报截止日晚于转托管申报日的股利选择权申报及供配股认购申报，转出股</w:t>
      </w:r>
      <w:r>
        <w:rPr>
          <w:spacing w:val="-5"/>
        </w:rPr>
        <w:t>份相应的投票和申报指令将作无效处理，甲方需在新托管单元重新申报。</w:t>
      </w:r>
    </w:p>
    <w:p>
      <w:pPr>
        <w:pStyle w:val="3"/>
        <w:spacing w:line="278" w:lineRule="auto"/>
        <w:ind w:firstLine="420"/>
      </w:pPr>
      <w:r>
        <w:rPr>
          <w:spacing w:val="-16"/>
        </w:rPr>
        <w:t>甲方申请办理证券转托管时，乙方应检查其是否享有权益，如有，应提醒其是否需要将权益一并转出，</w:t>
      </w:r>
      <w:r>
        <w:rPr>
          <w:spacing w:val="-7"/>
        </w:rPr>
        <w:t>申报选择股利经确认的红利权、收购权除外。</w:t>
      </w:r>
    </w:p>
    <w:p>
      <w:pPr>
        <w:pStyle w:val="3"/>
        <w:spacing w:before="1" w:line="278" w:lineRule="auto"/>
        <w:jc w:val="both"/>
      </w:pPr>
      <w:r>
        <w:rPr>
          <w:b/>
          <w:spacing w:val="8"/>
        </w:rPr>
        <w:t xml:space="preserve">第十九条 </w:t>
      </w:r>
      <w:r>
        <w:rPr>
          <w:spacing w:val="-5"/>
        </w:rPr>
        <w:t>甲方可要求乙方为其提供买卖成交明细单。甲方可在乙方经营场所临柜查询和打印，也可</w:t>
      </w:r>
      <w:r>
        <w:rPr>
          <w:spacing w:val="-6"/>
        </w:rPr>
        <w:t>通过乙方提供的其他方式查询和打印。双方另行通过书面方式约定交付方式和交付时间的，乙方应按约定执行。</w:t>
      </w:r>
    </w:p>
    <w:p>
      <w:pPr>
        <w:pStyle w:val="3"/>
        <w:spacing w:before="2" w:line="280" w:lineRule="auto"/>
        <w:jc w:val="both"/>
      </w:pPr>
      <w:r>
        <w:rPr>
          <w:b/>
          <w:w w:val="100"/>
        </w:rPr>
        <w:t>第二十条</w:t>
      </w:r>
      <w:r>
        <w:rPr>
          <w:b/>
          <w:spacing w:val="-1"/>
        </w:rPr>
        <w:t xml:space="preserve"> </w:t>
      </w:r>
      <w:r>
        <w:rPr>
          <w:spacing w:val="-4"/>
          <w:w w:val="100"/>
        </w:rPr>
        <w:t>甲方应知晓并认可中国结算按照香港中央结算有限公司</w:t>
      </w:r>
      <w:r>
        <w:rPr>
          <w:w w:val="100"/>
        </w:rPr>
        <w:t>（</w:t>
      </w:r>
      <w:r>
        <w:rPr>
          <w:spacing w:val="-16"/>
          <w:w w:val="100"/>
        </w:rPr>
        <w:t>以下简称“香港结算”</w:t>
      </w:r>
      <w:r>
        <w:rPr>
          <w:spacing w:val="-15"/>
          <w:w w:val="100"/>
        </w:rPr>
        <w:t>）</w:t>
      </w:r>
      <w:r>
        <w:rPr>
          <w:spacing w:val="-2"/>
          <w:w w:val="100"/>
        </w:rPr>
        <w:t>的业务</w:t>
      </w:r>
      <w:r>
        <w:rPr>
          <w:spacing w:val="-6"/>
        </w:rPr>
        <w:t>规则，与香港结算完成港股通交易的证券和资金的交收。港股通交易的境内结算由中国结算根据相关业务</w:t>
      </w:r>
      <w:r>
        <w:rPr>
          <w:spacing w:val="-4"/>
        </w:rPr>
        <w:t>规则组织完成。</w:t>
      </w:r>
    </w:p>
    <w:p>
      <w:pPr>
        <w:pStyle w:val="3"/>
        <w:spacing w:line="278" w:lineRule="auto"/>
        <w:jc w:val="both"/>
      </w:pPr>
      <w:r>
        <w:rPr>
          <w:b/>
          <w:color w:val="333333"/>
          <w:spacing w:val="7"/>
        </w:rPr>
        <w:t xml:space="preserve">第二十一条 </w:t>
      </w:r>
      <w:r>
        <w:rPr>
          <w:color w:val="333333"/>
          <w:spacing w:val="-5"/>
        </w:rPr>
        <w:t>甲方通过港股通取得的证券以中国结算名义存管在香港结算，并以香港中央结算</w:t>
      </w:r>
      <w:r>
        <w:rPr>
          <w:color w:val="333333"/>
        </w:rPr>
        <w:t>（</w:t>
      </w:r>
      <w:r>
        <w:rPr>
          <w:color w:val="333333"/>
          <w:spacing w:val="-2"/>
        </w:rPr>
        <w:t>代理人</w:t>
      </w:r>
      <w:r>
        <w:rPr>
          <w:color w:val="333333"/>
          <w:spacing w:val="-10"/>
        </w:rPr>
        <w:t>）</w:t>
      </w:r>
      <w:r>
        <w:rPr>
          <w:color w:val="333333"/>
          <w:spacing w:val="-5"/>
        </w:rPr>
        <w:t>有限公司的名义登记于联交所上市</w:t>
      </w:r>
      <w:r>
        <w:rPr>
          <w:rFonts w:hint="eastAsia"/>
          <w:color w:val="333333"/>
          <w:spacing w:val="-5"/>
          <w:lang w:val="en-US" w:eastAsia="zh-CN"/>
        </w:rPr>
        <w:t>证券</w:t>
      </w:r>
      <w:r>
        <w:rPr>
          <w:color w:val="333333"/>
          <w:spacing w:val="-5"/>
        </w:rPr>
        <w:t>的</w:t>
      </w:r>
      <w:r>
        <w:rPr>
          <w:rFonts w:hint="eastAsia"/>
          <w:color w:val="333333"/>
          <w:spacing w:val="-5"/>
          <w:lang w:val="en-US" w:eastAsia="zh-CN"/>
        </w:rPr>
        <w:t>持有人</w:t>
      </w:r>
      <w:r>
        <w:rPr>
          <w:color w:val="333333"/>
          <w:spacing w:val="-5"/>
        </w:rPr>
        <w:t>名册。甲方依法享有通过港股通买入的</w:t>
      </w:r>
      <w:r>
        <w:rPr>
          <w:rFonts w:hint="eastAsia"/>
          <w:color w:val="333333"/>
          <w:spacing w:val="-5"/>
          <w:lang w:eastAsia="zh-CN"/>
        </w:rPr>
        <w:t>证券</w:t>
      </w:r>
      <w:r>
        <w:rPr>
          <w:color w:val="333333"/>
          <w:spacing w:val="-5"/>
        </w:rPr>
        <w:t>的权益。中</w:t>
      </w:r>
      <w:r>
        <w:rPr>
          <w:color w:val="333333"/>
          <w:spacing w:val="-4"/>
        </w:rPr>
        <w:t>国结算出具的证券持有记录，是港股通投资者享有该证券权益的合法证明。</w:t>
      </w:r>
    </w:p>
    <w:p>
      <w:pPr>
        <w:pStyle w:val="3"/>
        <w:ind w:left="533" w:right="0" w:firstLine="0"/>
      </w:pPr>
      <w:r>
        <w:rPr>
          <w:color w:val="333333"/>
        </w:rPr>
        <w:t>甲方不能要求存入或提取纸面</w:t>
      </w:r>
      <w:r>
        <w:rPr>
          <w:rFonts w:hint="eastAsia"/>
          <w:color w:val="333333"/>
          <w:lang w:eastAsia="zh-CN"/>
        </w:rPr>
        <w:t>证券</w:t>
      </w:r>
      <w:r>
        <w:rPr>
          <w:color w:val="333333"/>
        </w:rPr>
        <w:t>，中国证监会另有规定的除外。</w:t>
      </w:r>
    </w:p>
    <w:p>
      <w:pPr>
        <w:pStyle w:val="3"/>
        <w:spacing w:before="44" w:line="278" w:lineRule="auto"/>
        <w:jc w:val="both"/>
      </w:pPr>
      <w:r>
        <w:rPr>
          <w:b/>
          <w:color w:val="333333"/>
          <w:spacing w:val="8"/>
        </w:rPr>
        <w:t xml:space="preserve">第二十二条 </w:t>
      </w:r>
      <w:r>
        <w:rPr>
          <w:color w:val="333333"/>
          <w:spacing w:val="-5"/>
          <w:u w:val="single" w:color="333333"/>
        </w:rPr>
        <w:t>甲方委托乙方买卖证券时应保证其账户中有足额的可用资金或证券，</w:t>
      </w:r>
      <w:r>
        <w:rPr>
          <w:rFonts w:hint="eastAsia"/>
          <w:color w:val="333333"/>
          <w:spacing w:val="-5"/>
          <w:u w:val="single" w:color="333333"/>
        </w:rPr>
        <w:t>并同意按乙方规定标准在账户中预留部分资金或按乙方规定比例在委托申报时冻结交易资金</w:t>
      </w:r>
      <w:r>
        <w:rPr>
          <w:color w:val="333333"/>
          <w:spacing w:val="-4"/>
          <w:u w:val="single" w:color="333333"/>
        </w:rPr>
        <w:t>，以保证根据成交结果承担相应的清</w:t>
      </w:r>
      <w:r>
        <w:rPr>
          <w:color w:val="333333"/>
          <w:spacing w:val="-3"/>
          <w:u w:val="single" w:color="333333"/>
        </w:rPr>
        <w:t>算交收责任，否则乙方有权拒绝甲方的委托指令。</w:t>
      </w:r>
    </w:p>
    <w:p>
      <w:pPr>
        <w:pStyle w:val="3"/>
        <w:spacing w:before="2"/>
        <w:ind w:left="535" w:right="0" w:firstLine="0"/>
        <w:jc w:val="both"/>
      </w:pPr>
      <w:r>
        <w:rPr>
          <w:b/>
          <w:color w:val="333333"/>
        </w:rPr>
        <w:t xml:space="preserve">第二十三条 </w:t>
      </w:r>
      <w:r>
        <w:rPr>
          <w:color w:val="333333"/>
        </w:rPr>
        <w:t>在确保客户资金账户不出现透支的前提下，投资者卖出（T日）香港</w:t>
      </w:r>
      <w:r>
        <w:rPr>
          <w:rFonts w:hint="eastAsia"/>
          <w:color w:val="333333"/>
          <w:lang w:eastAsia="zh-CN"/>
        </w:rPr>
        <w:t>证券</w:t>
      </w:r>
      <w:r>
        <w:rPr>
          <w:color w:val="333333"/>
        </w:rPr>
        <w:t>的资金在T+2</w:t>
      </w:r>
    </w:p>
    <w:p>
      <w:pPr>
        <w:pStyle w:val="3"/>
        <w:spacing w:before="46"/>
        <w:ind w:right="0" w:firstLine="0"/>
      </w:pPr>
      <w:r>
        <w:rPr>
          <w:color w:val="333333"/>
        </w:rPr>
        <w:t>日境内交易时可以使用，但因香港市场延迟交收导致客户资金不能按时交收等特殊情况除外。</w:t>
      </w:r>
    </w:p>
    <w:p>
      <w:pPr>
        <w:pStyle w:val="3"/>
        <w:spacing w:before="43" w:line="280" w:lineRule="auto"/>
        <w:jc w:val="both"/>
      </w:pPr>
      <w:r>
        <w:rPr>
          <w:b/>
          <w:color w:val="333333"/>
          <w:spacing w:val="7"/>
        </w:rPr>
        <w:t xml:space="preserve">第二十四条 </w:t>
      </w:r>
      <w:r>
        <w:rPr>
          <w:color w:val="333333"/>
          <w:spacing w:val="-5"/>
        </w:rPr>
        <w:t>乙方或乙方所属证券公司在交收日集中交收前，向甲方收取其应付的证券和资金。乙方</w:t>
      </w:r>
      <w:r>
        <w:rPr>
          <w:color w:val="333333"/>
          <w:spacing w:val="-4"/>
        </w:rPr>
        <w:t>或乙方所属证券公司应当向正常履行交收义务的甲方交付其应收的证券和资金。</w:t>
      </w:r>
    </w:p>
    <w:p>
      <w:pPr>
        <w:pStyle w:val="3"/>
        <w:spacing w:line="280" w:lineRule="auto"/>
        <w:jc w:val="both"/>
      </w:pPr>
      <w:r>
        <w:rPr>
          <w:b/>
          <w:color w:val="333333"/>
          <w:spacing w:val="7"/>
        </w:rPr>
        <w:t xml:space="preserve">第二十五条 </w:t>
      </w:r>
      <w:r>
        <w:rPr>
          <w:color w:val="333333"/>
          <w:spacing w:val="-6"/>
        </w:rPr>
        <w:t>在清算交收处理过程中，由乙方所属证券公司委托中国结算办理甲方与乙方之间的证券划付。</w:t>
      </w:r>
    </w:p>
    <w:p>
      <w:pPr>
        <w:pStyle w:val="3"/>
        <w:spacing w:line="278" w:lineRule="auto"/>
        <w:jc w:val="both"/>
      </w:pPr>
      <w:r>
        <w:rPr>
          <w:b/>
          <w:color w:val="333333"/>
        </w:rPr>
        <w:t>第二十</w:t>
      </w:r>
      <w:r>
        <w:rPr>
          <w:b/>
        </w:rPr>
        <w:t>六</w:t>
      </w:r>
      <w:r>
        <w:rPr>
          <w:b/>
          <w:color w:val="333333"/>
          <w:spacing w:val="20"/>
        </w:rPr>
        <w:t xml:space="preserve">条 </w:t>
      </w:r>
      <w:r>
        <w:rPr>
          <w:color w:val="333333"/>
          <w:spacing w:val="-7"/>
        </w:rPr>
        <w:t>甲方同意，对于甲方的港股通交易，由乙方所属证券公司以自己的名义与中国结算完成</w:t>
      </w:r>
      <w:r>
        <w:rPr>
          <w:rFonts w:hint="eastAsia"/>
          <w:color w:val="333333"/>
          <w:spacing w:val="-7"/>
        </w:rPr>
        <w:t>集中</w:t>
      </w:r>
      <w:r>
        <w:rPr>
          <w:color w:val="333333"/>
          <w:spacing w:val="-8"/>
        </w:rPr>
        <w:t>结算，并由乙方或乙方所属证券公司办理与甲方之间的港股通交易的结算，甲方不与中国结算发生结</w:t>
      </w:r>
      <w:r>
        <w:rPr>
          <w:color w:val="333333"/>
          <w:spacing w:val="-6"/>
        </w:rPr>
        <w:t>算关系。</w:t>
      </w:r>
    </w:p>
    <w:p>
      <w:pPr>
        <w:pStyle w:val="3"/>
        <w:spacing w:line="278" w:lineRule="auto"/>
        <w:ind w:firstLine="420"/>
      </w:pPr>
      <w:r>
        <w:rPr>
          <w:color w:val="333333"/>
          <w:spacing w:val="-6"/>
        </w:rPr>
        <w:t>甲乙双方、甲方与乙方所属证券公司发生的纠纷，不影响中国结算依照业务规则正在进行或已经进行</w:t>
      </w:r>
      <w:r>
        <w:rPr>
          <w:color w:val="333333"/>
          <w:spacing w:val="-4"/>
        </w:rPr>
        <w:t>的清算交收处理及违约处理。</w:t>
      </w:r>
    </w:p>
    <w:p>
      <w:pPr>
        <w:pStyle w:val="3"/>
        <w:tabs>
          <w:tab w:val="left" w:pos="1802"/>
        </w:tabs>
        <w:spacing w:line="278" w:lineRule="auto"/>
        <w:rPr>
          <w:color w:val="333333"/>
        </w:rPr>
      </w:pPr>
      <w:r>
        <w:rPr>
          <w:b/>
        </w:rPr>
        <w:t>第二十七条</w:t>
      </w:r>
      <w:r>
        <w:rPr>
          <w:b/>
        </w:rPr>
        <w:tab/>
      </w:r>
      <w:r>
        <w:rPr>
          <w:color w:val="333333"/>
          <w:spacing w:val="-3"/>
        </w:rPr>
        <w:t>甲</w:t>
      </w:r>
      <w:r>
        <w:rPr>
          <w:color w:val="333333"/>
        </w:rPr>
        <w:t>方</w:t>
      </w:r>
      <w:r>
        <w:rPr>
          <w:color w:val="333333"/>
          <w:spacing w:val="-3"/>
        </w:rPr>
        <w:t>应</w:t>
      </w:r>
      <w:r>
        <w:rPr>
          <w:color w:val="333333"/>
        </w:rPr>
        <w:t>知</w:t>
      </w:r>
      <w:r>
        <w:rPr>
          <w:color w:val="333333"/>
          <w:spacing w:val="-3"/>
        </w:rPr>
        <w:t>晓</w:t>
      </w:r>
      <w:r>
        <w:rPr>
          <w:color w:val="333333"/>
        </w:rPr>
        <w:t>并认</w:t>
      </w:r>
      <w:r>
        <w:rPr>
          <w:color w:val="333333"/>
          <w:spacing w:val="-3"/>
        </w:rPr>
        <w:t>可</w:t>
      </w:r>
      <w:r>
        <w:rPr>
          <w:color w:val="333333"/>
          <w:spacing w:val="-20"/>
        </w:rPr>
        <w:t>，</w:t>
      </w:r>
      <w:r>
        <w:rPr>
          <w:color w:val="333333"/>
        </w:rPr>
        <w:t>出</w:t>
      </w:r>
      <w:r>
        <w:rPr>
          <w:color w:val="333333"/>
          <w:spacing w:val="-3"/>
        </w:rPr>
        <w:t>于</w:t>
      </w:r>
      <w:r>
        <w:rPr>
          <w:color w:val="333333"/>
        </w:rPr>
        <w:t>降</w:t>
      </w:r>
      <w:r>
        <w:rPr>
          <w:color w:val="333333"/>
          <w:spacing w:val="-3"/>
        </w:rPr>
        <w:t>低</w:t>
      </w:r>
      <w:r>
        <w:rPr>
          <w:color w:val="333333"/>
        </w:rPr>
        <w:t>全</w:t>
      </w:r>
      <w:r>
        <w:rPr>
          <w:color w:val="333333"/>
          <w:spacing w:val="-3"/>
        </w:rPr>
        <w:t>市场</w:t>
      </w:r>
      <w:r>
        <w:rPr>
          <w:color w:val="333333"/>
        </w:rPr>
        <w:t>资金</w:t>
      </w:r>
      <w:r>
        <w:rPr>
          <w:color w:val="333333"/>
          <w:spacing w:val="-3"/>
        </w:rPr>
        <w:t>成</w:t>
      </w:r>
      <w:r>
        <w:rPr>
          <w:color w:val="333333"/>
        </w:rPr>
        <w:t>本</w:t>
      </w:r>
      <w:r>
        <w:rPr>
          <w:color w:val="333333"/>
          <w:spacing w:val="-3"/>
        </w:rPr>
        <w:t>的</w:t>
      </w:r>
      <w:r>
        <w:rPr>
          <w:color w:val="333333"/>
        </w:rPr>
        <w:t>原</w:t>
      </w:r>
      <w:r>
        <w:rPr>
          <w:color w:val="333333"/>
          <w:spacing w:val="-3"/>
        </w:rPr>
        <w:t>因</w:t>
      </w:r>
      <w:r>
        <w:rPr>
          <w:color w:val="333333"/>
          <w:spacing w:val="-20"/>
        </w:rPr>
        <w:t>，</w:t>
      </w:r>
      <w:r>
        <w:rPr>
          <w:color w:val="333333"/>
        </w:rPr>
        <w:t>中</w:t>
      </w:r>
      <w:r>
        <w:rPr>
          <w:color w:val="333333"/>
          <w:spacing w:val="-3"/>
        </w:rPr>
        <w:t>国结</w:t>
      </w:r>
      <w:r>
        <w:rPr>
          <w:color w:val="333333"/>
        </w:rPr>
        <w:t>算可</w:t>
      </w:r>
      <w:r>
        <w:rPr>
          <w:color w:val="333333"/>
          <w:spacing w:val="-3"/>
        </w:rPr>
        <w:t>以</w:t>
      </w:r>
      <w:r>
        <w:rPr>
          <w:color w:val="333333"/>
        </w:rPr>
        <w:t>依</w:t>
      </w:r>
      <w:r>
        <w:rPr>
          <w:color w:val="333333"/>
          <w:spacing w:val="-3"/>
        </w:rPr>
        <w:t>照</w:t>
      </w:r>
      <w:r>
        <w:rPr>
          <w:color w:val="333333"/>
        </w:rPr>
        <w:t>香</w:t>
      </w:r>
      <w:r>
        <w:rPr>
          <w:color w:val="333333"/>
          <w:spacing w:val="-3"/>
        </w:rPr>
        <w:t>港</w:t>
      </w:r>
      <w:r>
        <w:rPr>
          <w:color w:val="333333"/>
        </w:rPr>
        <w:t>结</w:t>
      </w:r>
      <w:r>
        <w:rPr>
          <w:color w:val="333333"/>
          <w:spacing w:val="-3"/>
        </w:rPr>
        <w:t>算</w:t>
      </w:r>
      <w:r>
        <w:rPr>
          <w:color w:val="333333"/>
        </w:rPr>
        <w:t>相关业务</w:t>
      </w:r>
      <w:r>
        <w:rPr>
          <w:color w:val="333333"/>
          <w:spacing w:val="-3"/>
        </w:rPr>
        <w:t>规</w:t>
      </w:r>
      <w:r>
        <w:rPr>
          <w:color w:val="333333"/>
        </w:rPr>
        <w:t>则</w:t>
      </w:r>
      <w:r>
        <w:rPr>
          <w:color w:val="333333"/>
          <w:spacing w:val="-3"/>
        </w:rPr>
        <w:t>，</w:t>
      </w:r>
      <w:r>
        <w:rPr>
          <w:color w:val="333333"/>
        </w:rPr>
        <w:t>将</w:t>
      </w:r>
      <w:r>
        <w:rPr>
          <w:color w:val="333333"/>
          <w:spacing w:val="-3"/>
        </w:rPr>
        <w:t>甲</w:t>
      </w:r>
      <w:r>
        <w:rPr>
          <w:color w:val="333333"/>
        </w:rPr>
        <w:t>方</w:t>
      </w:r>
      <w:r>
        <w:rPr>
          <w:color w:val="333333"/>
          <w:spacing w:val="-3"/>
        </w:rPr>
        <w:t>每</w:t>
      </w:r>
      <w:r>
        <w:rPr>
          <w:color w:val="333333"/>
        </w:rPr>
        <w:t>日</w:t>
      </w:r>
      <w:r>
        <w:rPr>
          <w:color w:val="333333"/>
          <w:spacing w:val="-3"/>
        </w:rPr>
        <w:t>净</w:t>
      </w:r>
      <w:r>
        <w:rPr>
          <w:color w:val="333333"/>
        </w:rPr>
        <w:t>卖出</w:t>
      </w:r>
      <w:r>
        <w:rPr>
          <w:color w:val="333333"/>
          <w:spacing w:val="-3"/>
        </w:rPr>
        <w:t>证</w:t>
      </w:r>
      <w:r>
        <w:rPr>
          <w:color w:val="333333"/>
        </w:rPr>
        <w:t>券</w:t>
      </w:r>
      <w:r>
        <w:rPr>
          <w:color w:val="333333"/>
          <w:spacing w:val="-3"/>
        </w:rPr>
        <w:t>向</w:t>
      </w:r>
      <w:r>
        <w:rPr>
          <w:color w:val="333333"/>
        </w:rPr>
        <w:t>香</w:t>
      </w:r>
      <w:r>
        <w:rPr>
          <w:color w:val="333333"/>
          <w:spacing w:val="-3"/>
        </w:rPr>
        <w:t>港</w:t>
      </w:r>
      <w:r>
        <w:rPr>
          <w:color w:val="333333"/>
        </w:rPr>
        <w:t>结</w:t>
      </w:r>
      <w:r>
        <w:rPr>
          <w:color w:val="333333"/>
          <w:spacing w:val="-3"/>
        </w:rPr>
        <w:t>算</w:t>
      </w:r>
      <w:r>
        <w:rPr>
          <w:color w:val="333333"/>
        </w:rPr>
        <w:t>提</w:t>
      </w:r>
      <w:r>
        <w:rPr>
          <w:color w:val="333333"/>
          <w:spacing w:val="-3"/>
        </w:rPr>
        <w:t>交</w:t>
      </w:r>
      <w:r>
        <w:rPr>
          <w:color w:val="333333"/>
        </w:rPr>
        <w:t>作为</w:t>
      </w:r>
      <w:r>
        <w:rPr>
          <w:color w:val="333333"/>
          <w:spacing w:val="-3"/>
        </w:rPr>
        <w:t>交</w:t>
      </w:r>
      <w:r>
        <w:rPr>
          <w:color w:val="333333"/>
        </w:rPr>
        <w:t>收</w:t>
      </w:r>
      <w:r>
        <w:rPr>
          <w:color w:val="333333"/>
          <w:spacing w:val="-3"/>
        </w:rPr>
        <w:t>担</w:t>
      </w:r>
      <w:r>
        <w:rPr>
          <w:color w:val="333333"/>
        </w:rPr>
        <w:t>保</w:t>
      </w:r>
      <w:r>
        <w:rPr>
          <w:color w:val="333333"/>
          <w:spacing w:val="-3"/>
        </w:rPr>
        <w:t>品</w:t>
      </w:r>
      <w:r>
        <w:rPr>
          <w:color w:val="333333"/>
        </w:rPr>
        <w:t>。</w:t>
      </w:r>
    </w:p>
    <w:p>
      <w:pPr>
        <w:pStyle w:val="3"/>
        <w:tabs>
          <w:tab w:val="left" w:pos="1802"/>
        </w:tabs>
        <w:spacing w:line="278" w:lineRule="auto"/>
        <w:rPr>
          <w:color w:val="333333"/>
        </w:rPr>
      </w:pPr>
    </w:p>
    <w:p>
      <w:pPr>
        <w:pStyle w:val="2"/>
        <w:tabs>
          <w:tab w:val="left" w:pos="4930"/>
        </w:tabs>
        <w:spacing w:before="2"/>
        <w:ind w:left="4085"/>
      </w:pPr>
      <w:r>
        <w:t>第四章</w:t>
      </w:r>
      <w:r>
        <w:tab/>
      </w:r>
      <w:r>
        <w:t>一般规范</w:t>
      </w:r>
    </w:p>
    <w:p>
      <w:pPr>
        <w:pStyle w:val="3"/>
        <w:spacing w:before="43" w:line="280" w:lineRule="auto"/>
        <w:jc w:val="both"/>
      </w:pPr>
      <w:r>
        <w:rPr>
          <w:b/>
          <w:spacing w:val="7"/>
        </w:rPr>
        <w:t xml:space="preserve">第二十八条 </w:t>
      </w:r>
      <w:r>
        <w:rPr>
          <w:spacing w:val="-5"/>
        </w:rPr>
        <w:t>深市港股通交易的标的证券范围由深交所确定公布。被调入的</w:t>
      </w:r>
      <w:r>
        <w:rPr>
          <w:rFonts w:hint="eastAsia"/>
          <w:spacing w:val="-5"/>
          <w:lang w:eastAsia="zh-CN"/>
        </w:rPr>
        <w:t>证券</w:t>
      </w:r>
      <w:r>
        <w:rPr>
          <w:spacing w:val="-5"/>
        </w:rPr>
        <w:t>可买卖，被调出的</w:t>
      </w:r>
      <w:r>
        <w:rPr>
          <w:rFonts w:hint="eastAsia"/>
          <w:spacing w:val="-5"/>
          <w:lang w:eastAsia="zh-CN"/>
        </w:rPr>
        <w:t>证券</w:t>
      </w:r>
      <w:r>
        <w:rPr>
          <w:spacing w:val="-4"/>
        </w:rPr>
        <w:t>仅允许卖出不允许买入。</w:t>
      </w:r>
    </w:p>
    <w:p>
      <w:pPr>
        <w:pStyle w:val="3"/>
        <w:spacing w:line="278" w:lineRule="auto"/>
        <w:jc w:val="both"/>
      </w:pPr>
      <w:r>
        <w:rPr>
          <w:b/>
          <w:spacing w:val="7"/>
        </w:rPr>
        <w:t xml:space="preserve">第二十九条 </w:t>
      </w:r>
      <w:r>
        <w:rPr>
          <w:spacing w:val="-5"/>
        </w:rPr>
        <w:t>港股通交易日和交易时间由深交所证券交易服务公司在其指定网站公布。每个港股通交</w:t>
      </w:r>
      <w:r>
        <w:rPr>
          <w:spacing w:val="-6"/>
        </w:rPr>
        <w:t>易日的交易时间包括开市前时段、持续交易时段和收市竞价时段，</w:t>
      </w:r>
      <w:r>
        <w:rPr>
          <w:spacing w:val="-4"/>
        </w:rPr>
        <w:t>9:00-9:15</w:t>
      </w:r>
      <w:r>
        <w:rPr>
          <w:spacing w:val="-5"/>
        </w:rPr>
        <w:t>接受竞价限价盘申报，</w:t>
      </w:r>
      <w:r>
        <w:rPr>
          <w:spacing w:val="-6"/>
        </w:rPr>
        <w:t>9:15-</w:t>
      </w:r>
      <w:r>
        <w:t>9:30不接受港股通交易申报，9:30-12:00为上午持续交易时段，13:00—16:00为下午持续交易时段，</w:t>
      </w:r>
    </w:p>
    <w:p>
      <w:pPr>
        <w:pStyle w:val="3"/>
        <w:spacing w:before="2" w:line="278" w:lineRule="auto"/>
        <w:ind w:left="533" w:right="328" w:hanging="420"/>
      </w:pPr>
      <w:r>
        <w:t>16:00—16:10</w:t>
      </w:r>
      <w:r>
        <w:rPr>
          <w:spacing w:val="-13"/>
        </w:rPr>
        <w:t>为收市竞价时段。除上述时段外，</w:t>
      </w:r>
      <w:r>
        <w:rPr>
          <w:spacing w:val="-8"/>
        </w:rPr>
        <w:t>12:30-13:00</w:t>
      </w:r>
      <w:r>
        <w:rPr>
          <w:spacing w:val="-13"/>
        </w:rPr>
        <w:t>也可以撤销申报。具体按联交所的规定执行。</w:t>
      </w:r>
      <w:r>
        <w:rPr>
          <w:spacing w:val="-8"/>
        </w:rPr>
        <w:t>圣诞前夕</w:t>
      </w:r>
      <w:r>
        <w:rPr>
          <w:spacing w:val="-1"/>
        </w:rPr>
        <w:t>（12月24日</w:t>
      </w:r>
      <w:r>
        <w:rPr>
          <w:spacing w:val="-108"/>
        </w:rPr>
        <w:t>）</w:t>
      </w:r>
      <w:r>
        <w:rPr>
          <w:spacing w:val="-11"/>
        </w:rPr>
        <w:t>、元旦前夕</w:t>
      </w:r>
      <w:r>
        <w:rPr>
          <w:spacing w:val="-1"/>
        </w:rPr>
        <w:t>（12</w:t>
      </w:r>
      <w:r>
        <w:t>月31</w:t>
      </w:r>
      <w:r>
        <w:rPr>
          <w:spacing w:val="-3"/>
        </w:rPr>
        <w:t>日</w:t>
      </w:r>
      <w:r>
        <w:rPr>
          <w:spacing w:val="-22"/>
        </w:rPr>
        <w:t>）</w:t>
      </w:r>
      <w:r>
        <w:rPr>
          <w:spacing w:val="-6"/>
        </w:rPr>
        <w:t>或除夕日为港股通交易日的，港股通仅有半天交易，且</w:t>
      </w:r>
    </w:p>
    <w:p>
      <w:pPr>
        <w:pStyle w:val="3"/>
        <w:spacing w:before="2"/>
        <w:ind w:right="0" w:firstLine="0"/>
      </w:pPr>
      <w:r>
        <w:t>当日为非交收日。</w:t>
      </w:r>
    </w:p>
    <w:p>
      <w:pPr>
        <w:pStyle w:val="3"/>
        <w:tabs>
          <w:tab w:val="left" w:pos="1601"/>
        </w:tabs>
        <w:spacing w:before="43" w:line="280" w:lineRule="auto"/>
        <w:ind w:right="328"/>
      </w:pPr>
      <w:r>
        <w:rPr>
          <w:b/>
        </w:rPr>
        <w:t>第三十条</w:t>
      </w:r>
      <w:r>
        <w:rPr>
          <w:b/>
        </w:rPr>
        <w:tab/>
      </w:r>
      <w:r>
        <w:t>港股通</w:t>
      </w:r>
      <w:r>
        <w:rPr>
          <w:rFonts w:hint="eastAsia"/>
          <w:lang w:eastAsia="zh-CN"/>
        </w:rPr>
        <w:t>证券</w:t>
      </w:r>
      <w:r>
        <w:t>以港币进行报</w:t>
      </w:r>
      <w:r>
        <w:rPr>
          <w:spacing w:val="3"/>
        </w:rPr>
        <w:t>价</w:t>
      </w:r>
      <w:r>
        <w:t>,投资者以人民币进行交收。乙方实施客户交易结算资金第</w:t>
      </w:r>
      <w:r>
        <w:rPr>
          <w:spacing w:val="-16"/>
        </w:rPr>
        <w:t>三</w:t>
      </w:r>
      <w:r>
        <w:t>方存</w:t>
      </w:r>
      <w:r>
        <w:rPr>
          <w:spacing w:val="-3"/>
        </w:rPr>
        <w:t>管</w:t>
      </w:r>
      <w:r>
        <w:t>。</w:t>
      </w:r>
    </w:p>
    <w:p>
      <w:pPr>
        <w:pStyle w:val="3"/>
        <w:spacing w:before="44" w:line="278" w:lineRule="auto"/>
        <w:jc w:val="both"/>
      </w:pPr>
      <w:r>
        <w:rPr>
          <w:b/>
          <w:spacing w:val="7"/>
        </w:rPr>
        <w:t xml:space="preserve">第三十一条 </w:t>
      </w:r>
      <w:r>
        <w:rPr>
          <w:spacing w:val="-6"/>
        </w:rPr>
        <w:t>甲方委托乙方代理买卖港股通</w:t>
      </w:r>
      <w:r>
        <w:rPr>
          <w:rFonts w:hint="eastAsia"/>
          <w:spacing w:val="-6"/>
          <w:lang w:eastAsia="zh-CN"/>
        </w:rPr>
        <w:t>证券</w:t>
      </w:r>
      <w:r>
        <w:rPr>
          <w:spacing w:val="-6"/>
        </w:rPr>
        <w:t>，参与联交所自动对盘系统交易，在联交所开市前时</w:t>
      </w:r>
      <w:r>
        <w:rPr>
          <w:spacing w:val="-7"/>
        </w:rPr>
        <w:t>段应当采用竞价限价盘委托，在联交所持续交易时段应当采用增强限价盘委托。当日买入的</w:t>
      </w:r>
      <w:r>
        <w:rPr>
          <w:rFonts w:hint="eastAsia"/>
          <w:spacing w:val="-7"/>
          <w:lang w:eastAsia="zh-CN"/>
        </w:rPr>
        <w:t>证券</w:t>
      </w:r>
      <w:r>
        <w:rPr>
          <w:spacing w:val="-7"/>
        </w:rPr>
        <w:t>，经确认</w:t>
      </w:r>
      <w:r>
        <w:rPr>
          <w:spacing w:val="-5"/>
        </w:rPr>
        <w:t>成交后，在交收前可以卖出。</w:t>
      </w:r>
    </w:p>
    <w:p>
      <w:pPr>
        <w:pStyle w:val="3"/>
        <w:spacing w:before="5"/>
        <w:ind w:left="535" w:right="0" w:firstLine="0"/>
        <w:jc w:val="both"/>
      </w:pPr>
      <w:r>
        <w:rPr>
          <w:b/>
        </w:rPr>
        <w:t xml:space="preserve">第三十二条 </w:t>
      </w:r>
      <w:r>
        <w:t>甲方委托乙方买卖证券成交的，应当按照与乙方的约定交纳佣金及其他费用。</w:t>
      </w:r>
    </w:p>
    <w:p>
      <w:pPr>
        <w:pStyle w:val="3"/>
        <w:spacing w:before="43" w:line="280" w:lineRule="auto"/>
        <w:ind w:right="337"/>
        <w:jc w:val="both"/>
      </w:pPr>
      <w:r>
        <w:rPr>
          <w:b/>
          <w:spacing w:val="1"/>
        </w:rPr>
        <w:t xml:space="preserve">第三十三条 </w:t>
      </w:r>
      <w:r>
        <w:rPr>
          <w:u w:val="single"/>
        </w:rPr>
        <w:t>甲</w:t>
      </w:r>
      <w:r>
        <w:rPr>
          <w:rFonts w:hint="eastAsia"/>
          <w:u w:val="single"/>
        </w:rPr>
        <w:t>方因自身过错导致其资金账户或证券账户被司法等机关冻结或强制执行而无法进行港股通</w:t>
      </w:r>
      <w:r>
        <w:rPr>
          <w:rFonts w:hint="eastAsia"/>
          <w:u w:val="single"/>
          <w:lang w:eastAsia="zh-CN"/>
        </w:rPr>
        <w:t>证券</w:t>
      </w:r>
      <w:r>
        <w:rPr>
          <w:rFonts w:hint="eastAsia"/>
          <w:u w:val="single"/>
        </w:rPr>
        <w:t>交易的</w:t>
      </w:r>
      <w:r>
        <w:rPr>
          <w:spacing w:val="-3"/>
          <w:u w:val="single"/>
        </w:rPr>
        <w:t>，应自行承担责任。</w:t>
      </w:r>
    </w:p>
    <w:p>
      <w:pPr>
        <w:pStyle w:val="3"/>
        <w:spacing w:line="280" w:lineRule="auto"/>
        <w:ind w:right="330"/>
        <w:jc w:val="both"/>
      </w:pPr>
      <w:r>
        <w:rPr>
          <w:b/>
        </w:rPr>
        <w:t xml:space="preserve">第三十四条 </w:t>
      </w:r>
      <w:r>
        <w:t>港股通交易实行当日额度控制,甲方参与港股通</w:t>
      </w:r>
      <w:r>
        <w:rPr>
          <w:rFonts w:hint="eastAsia"/>
          <w:lang w:eastAsia="zh-CN"/>
        </w:rPr>
        <w:t>证券</w:t>
      </w:r>
      <w:r>
        <w:t>交易，不得通过低价大额买入申报等方式恶意占用额度，影响额度控制。</w:t>
      </w:r>
    </w:p>
    <w:p>
      <w:pPr>
        <w:pStyle w:val="4"/>
        <w:keepNext w:val="0"/>
        <w:keepLines w:val="0"/>
        <w:widowControl/>
        <w:suppressLineNumbers w:val="0"/>
        <w:spacing w:before="75" w:beforeAutospacing="0" w:after="75" w:afterAutospacing="0"/>
        <w:ind w:left="0" w:right="0" w:firstLine="420"/>
        <w:jc w:val="center"/>
        <w:rPr>
          <w:rFonts w:hint="default" w:ascii="仿宋" w:hAnsi="仿宋" w:eastAsia="仿宋" w:cs="仿宋"/>
          <w:b/>
          <w:bCs/>
          <w:spacing w:val="-5"/>
          <w:sz w:val="21"/>
          <w:szCs w:val="21"/>
          <w:lang w:val="zh-CN" w:eastAsia="zh-CN" w:bidi="zh-CN"/>
        </w:rPr>
      </w:pPr>
      <w:r>
        <w:rPr>
          <w:rFonts w:hint="default" w:ascii="仿宋" w:hAnsi="仿宋" w:eastAsia="仿宋" w:cs="仿宋"/>
          <w:b/>
          <w:bCs/>
          <w:spacing w:val="-5"/>
          <w:sz w:val="21"/>
          <w:szCs w:val="21"/>
          <w:lang w:val="zh-CN" w:eastAsia="zh-CN" w:bidi="zh-CN"/>
        </w:rPr>
        <w:t>第五章 收费标准</w:t>
      </w:r>
    </w:p>
    <w:p>
      <w:pPr>
        <w:pStyle w:val="4"/>
        <w:keepNext w:val="0"/>
        <w:keepLines w:val="0"/>
        <w:widowControl/>
        <w:suppressLineNumbers w:val="0"/>
        <w:spacing w:before="75" w:beforeAutospacing="0" w:after="75" w:afterAutospacing="0"/>
        <w:ind w:left="0" w:right="0" w:firstLine="420"/>
        <w:jc w:val="both"/>
        <w:rPr>
          <w:rFonts w:hint="default" w:ascii="仿宋" w:hAnsi="仿宋" w:eastAsia="仿宋" w:cs="仿宋"/>
          <w:b w:val="0"/>
          <w:bCs w:val="0"/>
          <w:spacing w:val="-5"/>
          <w:sz w:val="21"/>
          <w:szCs w:val="21"/>
          <w:lang w:val="zh-CN" w:eastAsia="zh-CN" w:bidi="zh-CN"/>
        </w:rPr>
      </w:pPr>
      <w:r>
        <w:rPr>
          <w:rFonts w:hint="default" w:ascii="仿宋" w:hAnsi="仿宋" w:eastAsia="仿宋" w:cs="仿宋"/>
          <w:b/>
          <w:bCs/>
          <w:sz w:val="21"/>
          <w:szCs w:val="21"/>
          <w:lang w:val="zh-CN" w:eastAsia="zh-CN" w:bidi="zh-CN"/>
        </w:rPr>
        <w:t>第三十</w:t>
      </w:r>
      <w:r>
        <w:rPr>
          <w:rFonts w:hint="eastAsia" w:cs="仿宋"/>
          <w:b/>
          <w:bCs/>
          <w:sz w:val="21"/>
          <w:szCs w:val="21"/>
          <w:lang w:val="en-US" w:eastAsia="zh-CN" w:bidi="zh-CN"/>
        </w:rPr>
        <w:t>五</w:t>
      </w:r>
      <w:r>
        <w:rPr>
          <w:rFonts w:hint="default" w:ascii="仿宋" w:hAnsi="仿宋" w:eastAsia="仿宋" w:cs="仿宋"/>
          <w:b/>
          <w:bCs/>
          <w:sz w:val="21"/>
          <w:szCs w:val="21"/>
          <w:lang w:val="zh-CN" w:eastAsia="zh-CN" w:bidi="zh-CN"/>
        </w:rPr>
        <w:t>条</w:t>
      </w:r>
      <w:r>
        <w:rPr>
          <w:rFonts w:hint="default" w:ascii="仿宋" w:hAnsi="仿宋" w:eastAsia="仿宋" w:cs="仿宋"/>
          <w:b w:val="0"/>
          <w:bCs w:val="0"/>
          <w:spacing w:val="-5"/>
          <w:sz w:val="21"/>
          <w:szCs w:val="21"/>
          <w:lang w:val="zh-CN" w:eastAsia="zh-CN" w:bidi="zh-CN"/>
        </w:rPr>
        <w:t xml:space="preserve">  本次双方约定的</w:t>
      </w:r>
      <w:r>
        <w:rPr>
          <w:rFonts w:hint="eastAsia" w:cs="仿宋"/>
          <w:b w:val="0"/>
          <w:bCs w:val="0"/>
          <w:spacing w:val="-5"/>
          <w:sz w:val="21"/>
          <w:szCs w:val="21"/>
          <w:lang w:val="en-US" w:eastAsia="zh-CN" w:bidi="zh-CN"/>
        </w:rPr>
        <w:t>费用</w:t>
      </w:r>
      <w:r>
        <w:rPr>
          <w:rFonts w:hint="default" w:ascii="仿宋" w:hAnsi="仿宋" w:eastAsia="仿宋" w:cs="仿宋"/>
          <w:b w:val="0"/>
          <w:bCs w:val="0"/>
          <w:spacing w:val="-5"/>
          <w:sz w:val="21"/>
          <w:szCs w:val="21"/>
          <w:lang w:val="zh-CN" w:eastAsia="zh-CN" w:bidi="zh-CN"/>
        </w:rPr>
        <w:t>是乙方就甲方普通证券账户通过乙方代理发生港股通证券交易收取的</w:t>
      </w:r>
      <w:r>
        <w:rPr>
          <w:rFonts w:hint="default"/>
          <w:spacing w:val="-5"/>
          <w:sz w:val="21"/>
          <w:szCs w:val="21"/>
          <w:lang w:val="zh-CN" w:bidi="zh-CN"/>
        </w:rPr>
        <w:t>佣金、乙方按照有关法律、法规、规章、自律规则以及中国证监会、证券交易所、证券登记结算机构</w:t>
      </w:r>
      <w:r>
        <w:rPr>
          <w:rFonts w:hint="eastAsia"/>
          <w:spacing w:val="-5"/>
          <w:sz w:val="21"/>
          <w:szCs w:val="21"/>
          <w:lang w:val="zh-CN" w:bidi="zh-CN"/>
        </w:rPr>
        <w:t>、香港印花税署、香港证监会、香港财汇局、联交所、香港结算</w:t>
      </w:r>
      <w:r>
        <w:rPr>
          <w:rFonts w:hint="default"/>
          <w:spacing w:val="-5"/>
          <w:sz w:val="21"/>
          <w:szCs w:val="21"/>
          <w:lang w:val="zh-CN" w:bidi="zh-CN"/>
        </w:rPr>
        <w:t>及其他金融市场交易和登记结算规则，为甲方代收代缴的香港证监会及财务汇报局的交易征费</w:t>
      </w:r>
      <w:r>
        <w:rPr>
          <w:rFonts w:hint="eastAsia"/>
          <w:spacing w:val="-5"/>
          <w:sz w:val="21"/>
          <w:szCs w:val="21"/>
          <w:lang w:val="zh-CN" w:bidi="zh-CN"/>
        </w:rPr>
        <w:t>、</w:t>
      </w:r>
      <w:r>
        <w:rPr>
          <w:rFonts w:hint="default"/>
          <w:spacing w:val="-5"/>
          <w:sz w:val="21"/>
          <w:szCs w:val="21"/>
          <w:lang w:val="zh-CN" w:bidi="zh-CN"/>
        </w:rPr>
        <w:t>交易费、印花税、证券投资组合费、股份交收费用等</w:t>
      </w:r>
      <w:r>
        <w:rPr>
          <w:rFonts w:hint="eastAsia"/>
          <w:spacing w:val="-5"/>
          <w:sz w:val="21"/>
          <w:szCs w:val="21"/>
          <w:lang w:val="en-US" w:bidi="zh-CN"/>
        </w:rPr>
        <w:t>其他</w:t>
      </w:r>
      <w:r>
        <w:rPr>
          <w:rFonts w:hint="default"/>
          <w:spacing w:val="-5"/>
          <w:sz w:val="21"/>
          <w:szCs w:val="21"/>
          <w:lang w:val="zh-CN" w:bidi="zh-CN"/>
        </w:rPr>
        <w:t>税费</w:t>
      </w:r>
      <w:r>
        <w:rPr>
          <w:rFonts w:hint="default" w:ascii="仿宋" w:hAnsi="仿宋" w:eastAsia="仿宋" w:cs="仿宋"/>
          <w:b w:val="0"/>
          <w:bCs w:val="0"/>
          <w:spacing w:val="-5"/>
          <w:sz w:val="21"/>
          <w:szCs w:val="21"/>
          <w:lang w:val="zh-CN" w:eastAsia="zh-CN" w:bidi="zh-CN"/>
        </w:rPr>
        <w:t>。</w:t>
      </w:r>
    </w:p>
    <w:p>
      <w:pPr>
        <w:pStyle w:val="4"/>
        <w:keepNext w:val="0"/>
        <w:keepLines w:val="0"/>
        <w:widowControl/>
        <w:suppressLineNumbers w:val="0"/>
        <w:spacing w:before="75" w:beforeAutospacing="0" w:after="75" w:afterAutospacing="0"/>
        <w:ind w:left="0" w:right="0" w:firstLine="420"/>
        <w:jc w:val="both"/>
        <w:rPr>
          <w:rFonts w:hint="default" w:ascii="仿宋" w:hAnsi="仿宋" w:eastAsia="仿宋" w:cs="仿宋"/>
          <w:b w:val="0"/>
          <w:bCs w:val="0"/>
          <w:spacing w:val="-5"/>
          <w:sz w:val="21"/>
          <w:szCs w:val="21"/>
          <w:lang w:val="zh-CN" w:eastAsia="zh-CN" w:bidi="zh-CN"/>
        </w:rPr>
      </w:pPr>
      <w:r>
        <w:rPr>
          <w:rFonts w:hint="default" w:ascii="仿宋" w:hAnsi="仿宋" w:eastAsia="仿宋" w:cs="仿宋"/>
          <w:b/>
          <w:bCs/>
          <w:spacing w:val="-5"/>
          <w:sz w:val="21"/>
          <w:szCs w:val="21"/>
          <w:lang w:val="zh-CN" w:eastAsia="zh-CN" w:bidi="zh-CN"/>
        </w:rPr>
        <w:t>第三十</w:t>
      </w:r>
      <w:r>
        <w:rPr>
          <w:rFonts w:hint="eastAsia" w:cs="仿宋"/>
          <w:b/>
          <w:bCs/>
          <w:spacing w:val="-5"/>
          <w:sz w:val="21"/>
          <w:szCs w:val="21"/>
          <w:lang w:val="en-US" w:eastAsia="zh-CN" w:bidi="zh-CN"/>
        </w:rPr>
        <w:t>六</w:t>
      </w:r>
      <w:r>
        <w:rPr>
          <w:rFonts w:hint="default" w:ascii="仿宋" w:hAnsi="仿宋" w:eastAsia="仿宋" w:cs="仿宋"/>
          <w:b/>
          <w:bCs/>
          <w:spacing w:val="-5"/>
          <w:sz w:val="21"/>
          <w:szCs w:val="21"/>
          <w:lang w:val="zh-CN" w:eastAsia="zh-CN" w:bidi="zh-CN"/>
        </w:rPr>
        <w:t>条</w:t>
      </w:r>
      <w:r>
        <w:rPr>
          <w:rFonts w:hint="default" w:ascii="仿宋" w:hAnsi="仿宋" w:eastAsia="仿宋" w:cs="仿宋"/>
          <w:b w:val="0"/>
          <w:bCs w:val="0"/>
          <w:spacing w:val="-5"/>
          <w:sz w:val="21"/>
          <w:szCs w:val="21"/>
          <w:lang w:val="zh-CN" w:eastAsia="zh-CN" w:bidi="zh-CN"/>
        </w:rPr>
        <w:t xml:space="preserve">  乙方向甲方收取的代理证券交易</w:t>
      </w:r>
      <w:r>
        <w:rPr>
          <w:rFonts w:hint="default"/>
          <w:spacing w:val="-5"/>
          <w:sz w:val="21"/>
          <w:szCs w:val="21"/>
          <w:lang w:val="zh-CN" w:bidi="zh-CN"/>
        </w:rPr>
        <w:t>费用</w:t>
      </w:r>
      <w:r>
        <w:rPr>
          <w:rFonts w:hint="default" w:ascii="仿宋" w:hAnsi="仿宋" w:eastAsia="仿宋" w:cs="仿宋"/>
          <w:b w:val="0"/>
          <w:bCs w:val="0"/>
          <w:spacing w:val="-5"/>
          <w:sz w:val="21"/>
          <w:szCs w:val="21"/>
          <w:lang w:val="zh-CN" w:eastAsia="zh-CN" w:bidi="zh-CN"/>
        </w:rPr>
        <w:t>标准如下：</w:t>
      </w:r>
    </w:p>
    <w:tbl>
      <w:tblPr>
        <w:tblStyle w:val="7"/>
        <w:tblW w:w="690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195"/>
        <w:gridCol w:w="2078"/>
        <w:gridCol w:w="1843"/>
        <w:gridCol w:w="1785"/>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0" w:hRule="atLeast"/>
          <w:jc w:val="center"/>
        </w:trPr>
        <w:tc>
          <w:tcPr>
            <w:tcW w:w="1195" w:type="dxa"/>
          </w:tcPr>
          <w:p>
            <w:pPr>
              <w:pStyle w:val="9"/>
              <w:spacing w:before="40"/>
              <w:ind w:left="161" w:right="138"/>
              <w:jc w:val="center"/>
              <w:rPr>
                <w:rFonts w:hint="default" w:ascii="仿宋" w:hAnsi="仿宋" w:eastAsia="仿宋" w:cs="仿宋"/>
                <w:b/>
                <w:bCs/>
                <w:spacing w:val="-5"/>
                <w:kern w:val="0"/>
                <w:sz w:val="21"/>
                <w:szCs w:val="21"/>
                <w:lang w:bidi="zh-CN"/>
              </w:rPr>
            </w:pPr>
            <w:r>
              <w:rPr>
                <w:rFonts w:hint="default" w:ascii="仿宋" w:hAnsi="仿宋" w:eastAsia="仿宋" w:cs="仿宋"/>
                <w:b/>
                <w:bCs/>
                <w:spacing w:val="-5"/>
                <w:kern w:val="0"/>
                <w:sz w:val="21"/>
                <w:szCs w:val="21"/>
                <w:lang w:bidi="zh-CN"/>
              </w:rPr>
              <w:t>交易市场</w:t>
            </w:r>
          </w:p>
        </w:tc>
        <w:tc>
          <w:tcPr>
            <w:tcW w:w="2078" w:type="dxa"/>
          </w:tcPr>
          <w:p>
            <w:pPr>
              <w:pStyle w:val="9"/>
              <w:spacing w:before="40"/>
              <w:ind w:left="34" w:right="13"/>
              <w:jc w:val="center"/>
              <w:rPr>
                <w:rFonts w:hint="default" w:ascii="仿宋" w:hAnsi="仿宋" w:eastAsia="仿宋" w:cs="仿宋"/>
                <w:b/>
                <w:bCs/>
                <w:spacing w:val="-5"/>
                <w:kern w:val="0"/>
                <w:sz w:val="21"/>
                <w:szCs w:val="21"/>
                <w:lang w:bidi="zh-CN"/>
              </w:rPr>
            </w:pPr>
            <w:r>
              <w:rPr>
                <w:rFonts w:hint="default" w:ascii="仿宋" w:hAnsi="仿宋" w:eastAsia="仿宋" w:cs="仿宋"/>
                <w:b/>
                <w:bCs/>
                <w:spacing w:val="-5"/>
                <w:kern w:val="0"/>
                <w:sz w:val="21"/>
                <w:szCs w:val="21"/>
                <w:lang w:bidi="zh-CN"/>
              </w:rPr>
              <w:t>证券类别</w:t>
            </w:r>
          </w:p>
        </w:tc>
        <w:tc>
          <w:tcPr>
            <w:tcW w:w="1843" w:type="dxa"/>
          </w:tcPr>
          <w:p>
            <w:pPr>
              <w:pStyle w:val="9"/>
              <w:spacing w:before="40"/>
              <w:ind w:left="81"/>
              <w:jc w:val="center"/>
              <w:rPr>
                <w:rFonts w:hint="default" w:ascii="仿宋" w:hAnsi="仿宋" w:eastAsia="仿宋" w:cs="仿宋"/>
                <w:b/>
                <w:bCs/>
                <w:spacing w:val="-5"/>
                <w:kern w:val="0"/>
                <w:sz w:val="21"/>
                <w:szCs w:val="21"/>
                <w:lang w:bidi="zh-CN"/>
              </w:rPr>
            </w:pPr>
            <w:r>
              <w:rPr>
                <w:rFonts w:hint="eastAsia" w:cs="仿宋"/>
                <w:b/>
                <w:bCs/>
                <w:spacing w:val="-5"/>
                <w:kern w:val="0"/>
                <w:sz w:val="21"/>
                <w:szCs w:val="21"/>
                <w:lang w:val="en-US" w:bidi="zh-CN"/>
              </w:rPr>
              <w:t>费率</w:t>
            </w:r>
            <w:r>
              <w:rPr>
                <w:rFonts w:hint="default" w:ascii="仿宋" w:hAnsi="仿宋" w:eastAsia="仿宋" w:cs="仿宋"/>
                <w:b/>
                <w:bCs/>
                <w:spacing w:val="-5"/>
                <w:kern w:val="0"/>
                <w:sz w:val="21"/>
                <w:szCs w:val="21"/>
                <w:lang w:bidi="zh-CN"/>
              </w:rPr>
              <w:t>（万分之）</w:t>
            </w:r>
          </w:p>
        </w:tc>
        <w:tc>
          <w:tcPr>
            <w:tcW w:w="1785" w:type="dxa"/>
          </w:tcPr>
          <w:p>
            <w:pPr>
              <w:pStyle w:val="9"/>
              <w:spacing w:before="40"/>
              <w:ind w:left="158"/>
              <w:jc w:val="center"/>
              <w:rPr>
                <w:rFonts w:hint="default" w:ascii="仿宋" w:hAnsi="仿宋" w:eastAsia="仿宋" w:cs="仿宋"/>
                <w:b/>
                <w:bCs/>
                <w:spacing w:val="-5"/>
                <w:kern w:val="0"/>
                <w:sz w:val="21"/>
                <w:szCs w:val="21"/>
                <w:lang w:bidi="zh-CN"/>
              </w:rPr>
            </w:pPr>
            <w:r>
              <w:rPr>
                <w:rFonts w:hint="default" w:ascii="仿宋" w:hAnsi="仿宋" w:eastAsia="仿宋" w:cs="仿宋"/>
                <w:b/>
                <w:bCs/>
                <w:spacing w:val="-5"/>
                <w:kern w:val="0"/>
                <w:sz w:val="21"/>
                <w:szCs w:val="21"/>
                <w:lang w:bidi="zh-CN"/>
              </w:rPr>
              <w:t>最低</w:t>
            </w:r>
            <w:r>
              <w:rPr>
                <w:rFonts w:hint="eastAsia" w:cs="仿宋"/>
                <w:b/>
                <w:bCs/>
                <w:spacing w:val="-5"/>
                <w:kern w:val="0"/>
                <w:sz w:val="21"/>
                <w:szCs w:val="21"/>
                <w:lang w:val="en-US" w:bidi="zh-CN"/>
              </w:rPr>
              <w:t>费率</w:t>
            </w:r>
            <w:r>
              <w:rPr>
                <w:rFonts w:hint="default" w:ascii="仿宋" w:hAnsi="仿宋" w:eastAsia="仿宋" w:cs="仿宋"/>
                <w:b/>
                <w:bCs/>
                <w:spacing w:val="-5"/>
                <w:kern w:val="0"/>
                <w:sz w:val="21"/>
                <w:szCs w:val="21"/>
                <w:lang w:bidi="zh-CN"/>
              </w:rPr>
              <w:t>（元）</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jc w:val="center"/>
        </w:trPr>
        <w:tc>
          <w:tcPr>
            <w:tcW w:w="119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港股通</w:t>
            </w:r>
          </w:p>
        </w:tc>
        <w:tc>
          <w:tcPr>
            <w:tcW w:w="2078"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bidi="zh-CN"/>
              </w:rPr>
              <w:t>股票</w:t>
            </w:r>
          </w:p>
        </w:tc>
        <w:tc>
          <w:tcPr>
            <w:tcW w:w="1843"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#rate1#</w:t>
            </w:r>
          </w:p>
        </w:tc>
        <w:tc>
          <w:tcPr>
            <w:tcW w:w="178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0" w:hRule="atLeast"/>
          <w:jc w:val="center"/>
        </w:trPr>
        <w:tc>
          <w:tcPr>
            <w:tcW w:w="119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港股通</w:t>
            </w:r>
          </w:p>
        </w:tc>
        <w:tc>
          <w:tcPr>
            <w:tcW w:w="2078"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权证</w:t>
            </w:r>
          </w:p>
        </w:tc>
        <w:tc>
          <w:tcPr>
            <w:tcW w:w="1843"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#rate2#</w:t>
            </w:r>
          </w:p>
        </w:tc>
        <w:tc>
          <w:tcPr>
            <w:tcW w:w="178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5" w:hRule="atLeast"/>
          <w:jc w:val="center"/>
        </w:trPr>
        <w:tc>
          <w:tcPr>
            <w:tcW w:w="119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港股通</w:t>
            </w:r>
          </w:p>
        </w:tc>
        <w:tc>
          <w:tcPr>
            <w:tcW w:w="2078"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bidi="zh-CN"/>
              </w:rPr>
              <w:t>ETF 基金</w:t>
            </w:r>
          </w:p>
        </w:tc>
        <w:tc>
          <w:tcPr>
            <w:tcW w:w="1843"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#rate3#</w:t>
            </w:r>
          </w:p>
        </w:tc>
        <w:tc>
          <w:tcPr>
            <w:tcW w:w="1785" w:type="dxa"/>
          </w:tcPr>
          <w:p>
            <w:pPr>
              <w:pStyle w:val="9"/>
              <w:spacing w:before="50"/>
              <w:ind w:left="34" w:right="13"/>
              <w:jc w:val="center"/>
              <w:rPr>
                <w:rFonts w:hint="default" w:ascii="仿宋" w:hAnsi="仿宋" w:eastAsia="仿宋" w:cs="仿宋"/>
                <w:spacing w:val="-5"/>
                <w:kern w:val="0"/>
                <w:sz w:val="21"/>
                <w:szCs w:val="21"/>
                <w:lang w:bidi="zh-CN"/>
              </w:rPr>
            </w:pPr>
            <w:r>
              <w:rPr>
                <w:rFonts w:hint="default" w:ascii="仿宋" w:hAnsi="仿宋" w:eastAsia="仿宋" w:cs="仿宋"/>
                <w:spacing w:val="-5"/>
                <w:kern w:val="0"/>
                <w:sz w:val="21"/>
                <w:szCs w:val="21"/>
                <w:lang w:val="zh-CN" w:eastAsia="zh-CN" w:bidi="zh-CN"/>
              </w:rPr>
              <w:t>/</w:t>
            </w:r>
          </w:p>
        </w:tc>
      </w:tr>
    </w:tbl>
    <w:p>
      <w:pPr>
        <w:pStyle w:val="9"/>
        <w:keepNext w:val="0"/>
        <w:keepLines w:val="0"/>
        <w:widowControl/>
        <w:suppressLineNumbers w:val="0"/>
        <w:spacing w:before="50" w:beforeAutospacing="0" w:after="75" w:afterAutospacing="0"/>
        <w:ind w:left="34" w:right="13" w:firstLine="420"/>
        <w:jc w:val="left"/>
        <w:rPr>
          <w:rFonts w:hint="eastAsia" w:ascii="仿宋" w:hAnsi="仿宋" w:eastAsia="仿宋" w:cs="仿宋"/>
          <w:b w:val="0"/>
          <w:bCs w:val="0"/>
          <w:color w:val="484848"/>
          <w:kern w:val="0"/>
          <w:sz w:val="21"/>
          <w:szCs w:val="21"/>
          <w:lang w:val="en-US" w:eastAsia="zh-CN" w:bidi="ar"/>
        </w:rPr>
      </w:pPr>
      <w:r>
        <w:rPr>
          <w:rFonts w:hint="default"/>
          <w:spacing w:val="-5"/>
          <w:sz w:val="21"/>
          <w:szCs w:val="21"/>
        </w:rPr>
        <w:t>其中，费率包括佣金、香港证监会及财务汇报局的交易征费、交易费，不包括印花税、证券投资组合费、股份交收费用等税费，相关税费具体标准如下</w:t>
      </w:r>
      <w:r>
        <w:rPr>
          <w:rFonts w:hint="default" w:ascii="仿宋" w:hAnsi="仿宋" w:eastAsia="仿宋" w:cs="仿宋"/>
          <w:b w:val="0"/>
          <w:bCs w:val="0"/>
          <w:spacing w:val="-5"/>
          <w:kern w:val="0"/>
          <w:sz w:val="21"/>
          <w:szCs w:val="21"/>
          <w:lang w:val="zh-CN" w:eastAsia="zh-CN" w:bidi="zh-CN"/>
        </w:rPr>
        <w:t>：</w:t>
      </w:r>
    </w:p>
    <w:tbl>
      <w:tblPr>
        <w:tblStyle w:val="5"/>
        <w:tblW w:w="89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770"/>
        <w:gridCol w:w="5500"/>
        <w:gridCol w:w="166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Align w:val="center"/>
          </w:tcPr>
          <w:p>
            <w:pPr>
              <w:ind w:firstLine="0"/>
              <w:jc w:val="center"/>
              <w:rPr>
                <w:rFonts w:hint="default" w:ascii="仿宋" w:hAnsi="仿宋" w:eastAsia="仿宋" w:cs="仿宋"/>
                <w:b/>
                <w:bCs/>
                <w:spacing w:val="-5"/>
                <w:kern w:val="0"/>
                <w:sz w:val="21"/>
                <w:szCs w:val="21"/>
                <w:lang w:eastAsia="zh-CN" w:bidi="zh-CN"/>
              </w:rPr>
            </w:pPr>
            <w:r>
              <w:rPr>
                <w:rFonts w:hint="default" w:ascii="仿宋" w:hAnsi="仿宋" w:eastAsia="仿宋" w:cs="仿宋"/>
                <w:b/>
                <w:bCs/>
                <w:spacing w:val="-5"/>
                <w:kern w:val="0"/>
                <w:sz w:val="21"/>
                <w:szCs w:val="21"/>
                <w:lang w:bidi="zh-CN"/>
              </w:rPr>
              <w:t>项目</w:t>
            </w:r>
          </w:p>
        </w:tc>
        <w:tc>
          <w:tcPr>
            <w:tcW w:w="5500" w:type="dxa"/>
            <w:vAlign w:val="center"/>
          </w:tcPr>
          <w:p>
            <w:pPr>
              <w:jc w:val="center"/>
              <w:rPr>
                <w:rFonts w:hint="default" w:ascii="仿宋" w:hAnsi="仿宋" w:eastAsia="仿宋" w:cs="仿宋"/>
                <w:b/>
                <w:bCs/>
                <w:spacing w:val="-5"/>
                <w:kern w:val="0"/>
                <w:sz w:val="21"/>
                <w:szCs w:val="21"/>
                <w:lang w:eastAsia="zh-CN" w:bidi="zh-CN"/>
              </w:rPr>
            </w:pPr>
            <w:r>
              <w:rPr>
                <w:rFonts w:hint="default" w:ascii="仿宋" w:hAnsi="仿宋" w:eastAsia="仿宋" w:cs="仿宋"/>
                <w:b/>
                <w:bCs/>
                <w:spacing w:val="-5"/>
                <w:kern w:val="0"/>
                <w:sz w:val="21"/>
                <w:szCs w:val="21"/>
                <w:lang w:bidi="zh-CN"/>
              </w:rPr>
              <w:t>收费标准</w:t>
            </w:r>
          </w:p>
        </w:tc>
        <w:tc>
          <w:tcPr>
            <w:tcW w:w="1666" w:type="dxa"/>
            <w:vAlign w:val="center"/>
          </w:tcPr>
          <w:p>
            <w:pPr>
              <w:jc w:val="center"/>
              <w:rPr>
                <w:rFonts w:hint="default" w:ascii="仿宋" w:hAnsi="仿宋" w:eastAsia="仿宋" w:cs="仿宋"/>
                <w:b/>
                <w:bCs/>
                <w:spacing w:val="-5"/>
                <w:kern w:val="0"/>
                <w:sz w:val="21"/>
                <w:szCs w:val="21"/>
                <w:lang w:eastAsia="zh-CN" w:bidi="zh-CN"/>
              </w:rPr>
            </w:pPr>
            <w:r>
              <w:rPr>
                <w:rFonts w:hint="default" w:ascii="仿宋" w:hAnsi="仿宋" w:eastAsia="仿宋" w:cs="仿宋"/>
                <w:b/>
                <w:bCs/>
                <w:spacing w:val="-5"/>
                <w:kern w:val="0"/>
                <w:sz w:val="21"/>
                <w:szCs w:val="21"/>
                <w:lang w:bidi="zh-CN"/>
              </w:rPr>
              <w:t>缴付对象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Merge w:val="restart"/>
            <w:vAlign w:val="center"/>
          </w:tcPr>
          <w:p>
            <w:pPr>
              <w:ind w:firstLine="0"/>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交易征费</w:t>
            </w:r>
          </w:p>
        </w:tc>
        <w:tc>
          <w:tcPr>
            <w:tcW w:w="5500" w:type="dxa"/>
            <w:vAlign w:val="center"/>
          </w:tcPr>
          <w:p>
            <w:pP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按成交金额的0.0027%计收，四舍五入至小数点后两位，买卖双边收取。</w:t>
            </w:r>
          </w:p>
        </w:tc>
        <w:tc>
          <w:tcPr>
            <w:tcW w:w="1666" w:type="dxa"/>
            <w:vAlign w:val="center"/>
          </w:tcPr>
          <w:p>
            <w:pPr>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香港证监会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Merge w:val="continue"/>
            <w:vAlign w:val="center"/>
          </w:tcPr>
          <w:p>
            <w:pPr>
              <w:ind w:firstLine="420"/>
              <w:jc w:val="center"/>
              <w:rPr>
                <w:rFonts w:hint="default" w:ascii="仿宋" w:hAnsi="仿宋" w:eastAsia="仿宋" w:cs="仿宋"/>
                <w:spacing w:val="-5"/>
                <w:kern w:val="0"/>
                <w:sz w:val="21"/>
                <w:szCs w:val="21"/>
                <w:lang w:eastAsia="zh-CN" w:bidi="zh-CN"/>
              </w:rPr>
            </w:pPr>
          </w:p>
        </w:tc>
        <w:tc>
          <w:tcPr>
            <w:tcW w:w="5500" w:type="dxa"/>
            <w:vAlign w:val="center"/>
          </w:tcPr>
          <w:p>
            <w:pP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按成交金额的0.00015%计收，四舍五入至小数点后两位，买卖双边收取。</w:t>
            </w:r>
          </w:p>
        </w:tc>
        <w:tc>
          <w:tcPr>
            <w:tcW w:w="1666" w:type="dxa"/>
            <w:vAlign w:val="center"/>
          </w:tcPr>
          <w:p>
            <w:pPr>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香港财汇局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Align w:val="center"/>
          </w:tcPr>
          <w:p>
            <w:pPr>
              <w:ind w:firstLine="0"/>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交易费</w:t>
            </w:r>
          </w:p>
        </w:tc>
        <w:tc>
          <w:tcPr>
            <w:tcW w:w="5500" w:type="dxa"/>
            <w:vAlign w:val="center"/>
          </w:tcPr>
          <w:p>
            <w:pP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按成交金额的0.00565%计收，四舍五入至小数点后两位，买卖双边收取。</w:t>
            </w:r>
          </w:p>
        </w:tc>
        <w:tc>
          <w:tcPr>
            <w:tcW w:w="1666" w:type="dxa"/>
            <w:vAlign w:val="center"/>
          </w:tcPr>
          <w:p>
            <w:pPr>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联交所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Align w:val="center"/>
          </w:tcPr>
          <w:p>
            <w:pPr>
              <w:ind w:left="0" w:leftChars="0" w:right="0" w:rightChars="0" w:firstLine="0" w:firstLineChars="0"/>
              <w:jc w:val="center"/>
              <w:rPr>
                <w:rFonts w:hint="default" w:ascii="仿宋" w:hAnsi="仿宋" w:eastAsia="仿宋" w:cs="仿宋"/>
                <w:spacing w:val="-5"/>
                <w:kern w:val="0"/>
                <w:sz w:val="21"/>
                <w:szCs w:val="21"/>
                <w:lang w:val="zh-CN" w:eastAsia="zh-CN" w:bidi="zh-CN"/>
              </w:rPr>
            </w:pPr>
            <w:r>
              <w:rPr>
                <w:rFonts w:hint="default" w:ascii="仿宋" w:hAnsi="仿宋" w:eastAsia="仿宋" w:cs="仿宋"/>
                <w:spacing w:val="-5"/>
                <w:kern w:val="0"/>
                <w:sz w:val="21"/>
                <w:szCs w:val="21"/>
                <w:lang w:bidi="zh-CN"/>
              </w:rPr>
              <w:t>印花税</w:t>
            </w:r>
          </w:p>
        </w:tc>
        <w:tc>
          <w:tcPr>
            <w:tcW w:w="5500" w:type="dxa"/>
            <w:vAlign w:val="center"/>
          </w:tcPr>
          <w:p>
            <w:pPr>
              <w:ind w:left="0" w:leftChars="0" w:right="0" w:rightChars="0"/>
              <w:rPr>
                <w:rFonts w:hint="default" w:ascii="仿宋" w:hAnsi="仿宋" w:eastAsia="仿宋" w:cs="仿宋"/>
                <w:spacing w:val="-5"/>
                <w:kern w:val="0"/>
                <w:sz w:val="21"/>
                <w:szCs w:val="21"/>
                <w:lang w:val="zh-CN" w:eastAsia="zh-CN" w:bidi="zh-CN"/>
              </w:rPr>
            </w:pPr>
            <w:r>
              <w:rPr>
                <w:rFonts w:hint="default" w:ascii="仿宋" w:hAnsi="仿宋" w:eastAsia="仿宋" w:cs="仿宋"/>
                <w:spacing w:val="-5"/>
                <w:kern w:val="0"/>
                <w:sz w:val="21"/>
                <w:szCs w:val="21"/>
                <w:lang w:bidi="zh-CN"/>
              </w:rPr>
              <w:t>每笔成交金额的0.1%。买卖双边均收取。不足港币1元收1元，向上取整。例如3.1元收4元</w:t>
            </w:r>
            <w:r>
              <w:rPr>
                <w:rFonts w:hint="default" w:ascii="仿宋" w:hAnsi="仿宋" w:eastAsia="仿宋" w:cs="仿宋"/>
                <w:spacing w:val="-5"/>
                <w:kern w:val="0"/>
                <w:sz w:val="21"/>
                <w:szCs w:val="21"/>
                <w:lang w:eastAsia="zh-CN" w:bidi="zh-CN"/>
              </w:rPr>
              <w:t>。</w:t>
            </w:r>
          </w:p>
        </w:tc>
        <w:tc>
          <w:tcPr>
            <w:tcW w:w="1666" w:type="dxa"/>
            <w:vAlign w:val="center"/>
          </w:tcPr>
          <w:p>
            <w:pPr>
              <w:ind w:left="0" w:leftChars="0" w:right="0" w:rightChars="0"/>
              <w:jc w:val="center"/>
              <w:rPr>
                <w:rFonts w:hint="default" w:ascii="仿宋" w:hAnsi="仿宋" w:eastAsia="仿宋" w:cs="仿宋"/>
                <w:spacing w:val="-5"/>
                <w:kern w:val="0"/>
                <w:sz w:val="21"/>
                <w:szCs w:val="21"/>
                <w:lang w:val="zh-CN" w:eastAsia="zh-CN" w:bidi="zh-CN"/>
              </w:rPr>
            </w:pPr>
            <w:r>
              <w:rPr>
                <w:rFonts w:hint="default" w:ascii="仿宋" w:hAnsi="仿宋" w:eastAsia="仿宋" w:cs="仿宋"/>
                <w:spacing w:val="-5"/>
                <w:kern w:val="0"/>
                <w:sz w:val="21"/>
                <w:szCs w:val="21"/>
                <w:lang w:bidi="zh-CN"/>
              </w:rPr>
              <w:t>香港印花税署</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Align w:val="center"/>
          </w:tcPr>
          <w:p>
            <w:pPr>
              <w:ind w:firstLine="0"/>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股份交收费用</w:t>
            </w:r>
          </w:p>
        </w:tc>
        <w:tc>
          <w:tcPr>
            <w:tcW w:w="5500" w:type="dxa"/>
            <w:vAlign w:val="center"/>
          </w:tcPr>
          <w:p>
            <w:pP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按成交金额的0.002%，四舍五入至小数点后两位，最低港币2元，最高港币100元，买卖双边收取。</w:t>
            </w:r>
          </w:p>
        </w:tc>
        <w:tc>
          <w:tcPr>
            <w:tcW w:w="1666" w:type="dxa"/>
            <w:vAlign w:val="center"/>
          </w:tcPr>
          <w:p>
            <w:pPr>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香港结算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0" w:type="dxa"/>
            <w:vAlign w:val="center"/>
          </w:tcPr>
          <w:p>
            <w:pPr>
              <w:ind w:firstLine="0"/>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证券组合费</w:t>
            </w:r>
          </w:p>
        </w:tc>
        <w:tc>
          <w:tcPr>
            <w:tcW w:w="5500" w:type="dxa"/>
            <w:vAlign w:val="center"/>
          </w:tcPr>
          <w:p>
            <w:pP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eastAsia="zh-CN" w:bidi="zh-CN"/>
              </w:rPr>
              <w:t>按所持有港股通股票的市值*年费率/365，每个自然日收取。证券投资组合费根据持有市值的不同设定不同的费率。</w:t>
            </w:r>
            <w:r>
              <w:rPr>
                <w:rFonts w:hint="default" w:ascii="仿宋" w:hAnsi="仿宋" w:eastAsia="仿宋" w:cs="仿宋"/>
                <w:spacing w:val="-5"/>
                <w:kern w:val="0"/>
                <w:sz w:val="21"/>
                <w:szCs w:val="21"/>
                <w:lang w:bidi="zh-CN"/>
              </w:rPr>
              <w:t>（详见下表“港股通证券组合费收费标准”）</w:t>
            </w:r>
          </w:p>
        </w:tc>
        <w:tc>
          <w:tcPr>
            <w:tcW w:w="1666" w:type="dxa"/>
            <w:vAlign w:val="center"/>
          </w:tcPr>
          <w:p>
            <w:pPr>
              <w:jc w:val="center"/>
              <w:rPr>
                <w:rFonts w:hint="default" w:ascii="仿宋" w:hAnsi="仿宋" w:eastAsia="仿宋" w:cs="仿宋"/>
                <w:spacing w:val="-5"/>
                <w:kern w:val="0"/>
                <w:sz w:val="21"/>
                <w:szCs w:val="21"/>
                <w:lang w:eastAsia="zh-CN" w:bidi="zh-CN"/>
              </w:rPr>
            </w:pPr>
            <w:r>
              <w:rPr>
                <w:rFonts w:hint="default" w:ascii="仿宋" w:hAnsi="仿宋" w:eastAsia="仿宋" w:cs="仿宋"/>
                <w:spacing w:val="-5"/>
                <w:kern w:val="0"/>
                <w:sz w:val="21"/>
                <w:szCs w:val="21"/>
                <w:lang w:bidi="zh-CN"/>
              </w:rPr>
              <w:t>香港结算</w:t>
            </w:r>
          </w:p>
        </w:tc>
      </w:tr>
    </w:tbl>
    <w:p>
      <w:pPr>
        <w:ind w:firstLine="643"/>
        <w:rPr>
          <w:lang w:eastAsia="zh-CN"/>
        </w:rPr>
      </w:pPr>
    </w:p>
    <w:tbl>
      <w:tblPr>
        <w:tblStyle w:val="5"/>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95"/>
        <w:gridCol w:w="2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75" w:type="dxa"/>
            <w:gridSpan w:val="2"/>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b/>
                <w:bCs/>
                <w:spacing w:val="-5"/>
                <w:sz w:val="21"/>
                <w:szCs w:val="21"/>
                <w:lang w:val="zh-CN" w:bidi="zh-CN"/>
              </w:rPr>
            </w:pPr>
            <w:r>
              <w:rPr>
                <w:rFonts w:hint="default" w:ascii="仿宋" w:hAnsi="仿宋" w:eastAsia="仿宋" w:cs="仿宋"/>
                <w:b/>
                <w:bCs/>
                <w:spacing w:val="-5"/>
                <w:sz w:val="21"/>
                <w:szCs w:val="21"/>
                <w:lang w:val="zh-CN" w:bidi="zh-CN"/>
              </w:rPr>
              <w:t>港股通证券组合费收费标准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b/>
                <w:bCs/>
                <w:spacing w:val="-5"/>
                <w:sz w:val="21"/>
                <w:szCs w:val="21"/>
                <w:lang w:val="zh-CN" w:bidi="zh-CN"/>
              </w:rPr>
            </w:pPr>
            <w:r>
              <w:rPr>
                <w:rFonts w:hint="default" w:ascii="仿宋" w:hAnsi="仿宋" w:eastAsia="仿宋" w:cs="仿宋"/>
                <w:b/>
                <w:bCs/>
                <w:spacing w:val="-5"/>
                <w:sz w:val="21"/>
                <w:szCs w:val="21"/>
                <w:lang w:val="zh-CN" w:bidi="zh-CN"/>
              </w:rPr>
              <w:t>持有港股的市值（币种：港币）</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b/>
                <w:bCs/>
                <w:spacing w:val="-5"/>
                <w:sz w:val="21"/>
                <w:szCs w:val="21"/>
                <w:lang w:val="zh-CN" w:bidi="zh-CN"/>
              </w:rPr>
            </w:pPr>
            <w:r>
              <w:rPr>
                <w:rFonts w:hint="default" w:ascii="仿宋" w:hAnsi="仿宋" w:eastAsia="仿宋" w:cs="仿宋"/>
                <w:b/>
                <w:bCs/>
                <w:spacing w:val="-5"/>
                <w:sz w:val="21"/>
                <w:szCs w:val="21"/>
                <w:lang w:val="zh-CN" w:bidi="zh-CN"/>
              </w:rPr>
              <w:t>年费率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小于或等于港币 500亿元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大于港币500亿元，小于或等于2,500亿元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大于港币2,500亿元，小于或等于5,000亿元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大于港币5,000亿元，小于或等于7,500亿元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大于港币7,500亿元，小于或等于10,000亿元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495" w:type="dxa"/>
            <w:tcBorders>
              <w:top w:val="single" w:color="auto" w:sz="4" w:space="0"/>
              <w:left w:val="single" w:color="auto" w:sz="4" w:space="0"/>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大于港币10,000亿元</w:t>
            </w:r>
          </w:p>
        </w:tc>
        <w:tc>
          <w:tcPr>
            <w:tcW w:w="2080" w:type="dxa"/>
            <w:tcBorders>
              <w:top w:val="single" w:color="auto" w:sz="4" w:space="0"/>
              <w:left w:val="nil"/>
              <w:bottom w:val="single" w:color="auto" w:sz="4" w:space="0"/>
              <w:right w:val="single" w:color="auto" w:sz="4" w:space="0"/>
            </w:tcBorders>
            <w:vAlign w:val="center"/>
          </w:tcPr>
          <w:p>
            <w:pPr>
              <w:pStyle w:val="4"/>
              <w:spacing w:before="0" w:beforeAutospacing="0" w:after="0" w:afterAutospacing="0"/>
              <w:jc w:val="center"/>
              <w:textAlignment w:val="center"/>
              <w:rPr>
                <w:rFonts w:hint="default" w:ascii="仿宋" w:hAnsi="仿宋" w:eastAsia="仿宋" w:cs="仿宋"/>
                <w:spacing w:val="-5"/>
                <w:sz w:val="21"/>
                <w:szCs w:val="21"/>
                <w:lang w:val="zh-CN" w:bidi="zh-CN"/>
              </w:rPr>
            </w:pPr>
            <w:r>
              <w:rPr>
                <w:rFonts w:hint="default" w:ascii="仿宋" w:hAnsi="仿宋" w:eastAsia="仿宋" w:cs="仿宋"/>
                <w:spacing w:val="-5"/>
                <w:sz w:val="21"/>
                <w:szCs w:val="21"/>
                <w:lang w:val="zh-CN" w:bidi="zh-CN"/>
              </w:rPr>
              <w:t>0.003%</w:t>
            </w:r>
          </w:p>
        </w:tc>
      </w:tr>
    </w:tbl>
    <w:p>
      <w:pPr>
        <w:ind w:firstLine="643"/>
        <w:rPr>
          <w:lang w:eastAsia="zh-CN"/>
        </w:rPr>
      </w:pPr>
    </w:p>
    <w:p>
      <w:pPr>
        <w:pStyle w:val="3"/>
        <w:keepNext w:val="0"/>
        <w:keepLines w:val="0"/>
        <w:widowControl/>
        <w:suppressLineNumbers w:val="0"/>
        <w:spacing w:before="50" w:beforeAutospacing="0" w:after="75" w:afterAutospacing="0" w:line="280" w:lineRule="auto"/>
        <w:ind w:left="34" w:right="330" w:firstLine="420"/>
        <w:jc w:val="both"/>
        <w:rPr>
          <w:rFonts w:hint="default" w:ascii="仿宋" w:hAnsi="仿宋" w:eastAsia="仿宋" w:cs="仿宋"/>
          <w:b w:val="0"/>
          <w:bCs w:val="0"/>
          <w:spacing w:val="-5"/>
          <w:sz w:val="21"/>
          <w:szCs w:val="21"/>
          <w:u w:val="none"/>
          <w:lang w:val="zh-CN" w:eastAsia="zh-CN"/>
        </w:rPr>
      </w:pPr>
      <w:r>
        <w:rPr>
          <w:rFonts w:hint="default" w:ascii="仿宋" w:hAnsi="仿宋" w:eastAsia="仿宋" w:cs="仿宋"/>
          <w:b/>
          <w:bCs/>
          <w:spacing w:val="-5"/>
          <w:sz w:val="21"/>
          <w:szCs w:val="21"/>
          <w:u w:val="none"/>
          <w:lang w:val="zh-CN" w:eastAsia="zh-CN"/>
        </w:rPr>
        <w:t>第三十</w:t>
      </w:r>
      <w:r>
        <w:rPr>
          <w:rFonts w:hint="default" w:cs="仿宋"/>
          <w:b/>
          <w:bCs/>
          <w:spacing w:val="-5"/>
          <w:sz w:val="21"/>
          <w:szCs w:val="21"/>
          <w:u w:val="none"/>
          <w:lang w:val="zh-CN" w:eastAsia="zh-CN"/>
        </w:rPr>
        <w:t>七</w:t>
      </w:r>
      <w:r>
        <w:rPr>
          <w:rFonts w:hint="default" w:ascii="仿宋" w:hAnsi="仿宋" w:eastAsia="仿宋" w:cs="仿宋"/>
          <w:b/>
          <w:bCs/>
          <w:spacing w:val="-5"/>
          <w:sz w:val="21"/>
          <w:szCs w:val="21"/>
          <w:u w:val="none"/>
          <w:lang w:val="zh-CN" w:eastAsia="zh-CN"/>
        </w:rPr>
        <w:t xml:space="preserve">条  </w:t>
      </w:r>
      <w:r>
        <w:rPr>
          <w:rFonts w:hint="default" w:ascii="仿宋" w:hAnsi="仿宋" w:eastAsia="仿宋" w:cs="仿宋"/>
          <w:b w:val="0"/>
          <w:bCs w:val="0"/>
          <w:spacing w:val="-5"/>
          <w:sz w:val="21"/>
          <w:szCs w:val="21"/>
          <w:u w:val="none"/>
          <w:lang w:val="zh-CN" w:eastAsia="zh-CN"/>
        </w:rPr>
        <w:t>由于证券交易涉及的交易市场和证券类别较多，同一交易市场的同一证券类别的佣金率可能会因为委托方式而不同，因此无法一一列举出所有交易市场的所有证券类别在所有委托方式下的佣金率。未在</w:t>
      </w:r>
      <w:r>
        <w:rPr>
          <w:rFonts w:hint="default" w:cs="仿宋"/>
          <w:b w:val="0"/>
          <w:bCs w:val="0"/>
          <w:spacing w:val="-5"/>
          <w:sz w:val="21"/>
          <w:szCs w:val="21"/>
          <w:u w:val="none"/>
          <w:lang w:val="zh-CN" w:eastAsia="zh-CN"/>
        </w:rPr>
        <w:t>上一条款</w:t>
      </w:r>
      <w:r>
        <w:rPr>
          <w:rFonts w:hint="default" w:ascii="仿宋" w:hAnsi="仿宋" w:eastAsia="仿宋" w:cs="仿宋"/>
          <w:b w:val="0"/>
          <w:bCs w:val="0"/>
          <w:spacing w:val="-5"/>
          <w:sz w:val="21"/>
          <w:szCs w:val="21"/>
          <w:u w:val="none"/>
          <w:lang w:val="zh-CN" w:eastAsia="zh-CN"/>
        </w:rPr>
        <w:t>中列示的其他交易市场、其他证券类别、其他委托方式的佣金率，将按照甲方开户时乙方的默认</w:t>
      </w:r>
      <w:r>
        <w:rPr>
          <w:rFonts w:hint="default" w:ascii="仿宋" w:hAnsi="仿宋" w:eastAsia="仿宋" w:cs="仿宋"/>
          <w:b w:val="0"/>
          <w:bCs w:val="0"/>
          <w:spacing w:val="-5"/>
          <w:sz w:val="21"/>
          <w:szCs w:val="21"/>
          <w:u w:val="none"/>
        </w:rPr>
        <w:t>不高于</w:t>
      </w:r>
      <w:r>
        <w:rPr>
          <w:rFonts w:hint="default"/>
          <w:spacing w:val="-5"/>
          <w:u w:val="none"/>
        </w:rPr>
        <w:t>1</w:t>
      </w:r>
      <w:r>
        <w:rPr>
          <w:rFonts w:hint="eastAsia"/>
          <w:spacing w:val="-5"/>
          <w:u w:val="none"/>
          <w:lang w:val="en-US" w:eastAsia="zh-CN"/>
        </w:rPr>
        <w:t>.</w:t>
      </w:r>
      <w:r>
        <w:rPr>
          <w:rFonts w:hint="default"/>
          <w:spacing w:val="-5"/>
          <w:u w:val="none"/>
        </w:rPr>
        <w:t>5835</w:t>
      </w:r>
      <w:r>
        <w:rPr>
          <w:rFonts w:hint="default" w:ascii="仿宋" w:hAnsi="仿宋" w:eastAsia="仿宋" w:cs="仿宋"/>
          <w:b w:val="0"/>
          <w:bCs w:val="0"/>
          <w:spacing w:val="-5"/>
          <w:sz w:val="21"/>
          <w:szCs w:val="21"/>
          <w:u w:val="none"/>
        </w:rPr>
        <w:t>‰</w:t>
      </w:r>
      <w:r>
        <w:rPr>
          <w:rFonts w:hint="default" w:ascii="仿宋" w:hAnsi="仿宋" w:eastAsia="仿宋" w:cs="仿宋"/>
          <w:b w:val="0"/>
          <w:bCs w:val="0"/>
          <w:spacing w:val="-5"/>
          <w:sz w:val="21"/>
          <w:szCs w:val="21"/>
          <w:u w:val="none"/>
          <w:lang w:val="zh-CN" w:eastAsia="zh-CN"/>
        </w:rPr>
        <w:t>标准来收取。如有疑问请联系您的开户营业部。开户营业部的联系方式可通过拨打乙方统一客服电话（020）95575查询。</w:t>
      </w:r>
    </w:p>
    <w:p>
      <w:pPr>
        <w:pStyle w:val="3"/>
        <w:spacing w:line="280" w:lineRule="auto"/>
        <w:ind w:right="330"/>
        <w:jc w:val="both"/>
      </w:pPr>
      <w:r>
        <w:rPr>
          <w:rFonts w:hint="default" w:ascii="仿宋" w:hAnsi="仿宋" w:eastAsia="仿宋" w:cs="仿宋"/>
          <w:b/>
          <w:bCs/>
          <w:spacing w:val="-5"/>
          <w:sz w:val="21"/>
          <w:szCs w:val="21"/>
          <w:u w:val="none"/>
          <w:lang w:val="zh-CN" w:eastAsia="zh-CN"/>
        </w:rPr>
        <w:t>第三十</w:t>
      </w:r>
      <w:r>
        <w:rPr>
          <w:rFonts w:hint="eastAsia" w:cs="仿宋"/>
          <w:b/>
          <w:bCs/>
          <w:spacing w:val="-5"/>
          <w:sz w:val="21"/>
          <w:szCs w:val="21"/>
          <w:u w:val="none"/>
          <w:lang w:val="en-US" w:eastAsia="zh-CN"/>
        </w:rPr>
        <w:t>八</w:t>
      </w:r>
      <w:r>
        <w:rPr>
          <w:rFonts w:hint="default" w:ascii="仿宋" w:hAnsi="仿宋" w:eastAsia="仿宋" w:cs="仿宋"/>
          <w:b/>
          <w:bCs/>
          <w:spacing w:val="-5"/>
          <w:sz w:val="21"/>
          <w:szCs w:val="21"/>
          <w:u w:val="none"/>
          <w:lang w:val="zh-CN" w:eastAsia="zh-CN"/>
        </w:rPr>
        <w:t>条</w:t>
      </w:r>
      <w:r>
        <w:rPr>
          <w:rFonts w:hint="default" w:ascii="仿宋" w:hAnsi="仿宋" w:eastAsia="仿宋" w:cs="仿宋"/>
          <w:b w:val="0"/>
          <w:bCs w:val="0"/>
          <w:spacing w:val="-5"/>
          <w:sz w:val="21"/>
          <w:szCs w:val="21"/>
          <w:u w:val="none"/>
          <w:lang w:val="zh-CN" w:eastAsia="zh-CN"/>
        </w:rPr>
        <w:t xml:space="preserve">  甲方在乙方网上系统签署本协议或在乙方电子渠道点击确认本协议的行为即视为甲方对本协议的有效签署行为，具有法律上的效力，本协议即宣告生效。乙方有权根据</w:t>
      </w:r>
      <w:r>
        <w:rPr>
          <w:rFonts w:hint="default" w:ascii="仿宋" w:hAnsi="仿宋" w:eastAsia="仿宋" w:cs="仿宋"/>
          <w:b w:val="0"/>
          <w:bCs w:val="0"/>
          <w:spacing w:val="-5"/>
          <w:kern w:val="0"/>
          <w:sz w:val="21"/>
          <w:szCs w:val="21"/>
          <w:u w:val="none"/>
          <w:lang w:val="zh-CN" w:eastAsia="zh-CN" w:bidi="zh-CN"/>
        </w:rPr>
        <w:t>交易征费、交易费、财务汇报局交易征费</w:t>
      </w:r>
      <w:r>
        <w:rPr>
          <w:rFonts w:hint="default" w:ascii="仿宋" w:hAnsi="仿宋" w:eastAsia="仿宋" w:cs="仿宋"/>
          <w:b w:val="0"/>
          <w:bCs w:val="0"/>
          <w:spacing w:val="-5"/>
          <w:sz w:val="21"/>
          <w:szCs w:val="21"/>
          <w:u w:val="none"/>
          <w:lang w:val="zh-CN" w:eastAsia="zh-CN"/>
        </w:rPr>
        <w:t>等</w:t>
      </w:r>
      <w:r>
        <w:rPr>
          <w:rFonts w:hint="default" w:ascii="仿宋" w:hAnsi="仿宋" w:eastAsia="仿宋" w:cs="仿宋"/>
          <w:b w:val="0"/>
          <w:bCs w:val="0"/>
          <w:spacing w:val="-5"/>
          <w:kern w:val="0"/>
          <w:sz w:val="21"/>
          <w:szCs w:val="21"/>
          <w:u w:val="none"/>
          <w:lang w:val="zh-CN" w:eastAsia="zh-CN" w:bidi="zh-CN"/>
        </w:rPr>
        <w:t>香港证监会、香港联交所、香港财务汇报局</w:t>
      </w:r>
      <w:r>
        <w:rPr>
          <w:rFonts w:hint="default" w:ascii="仿宋" w:hAnsi="仿宋" w:eastAsia="仿宋" w:cs="仿宋"/>
          <w:b w:val="0"/>
          <w:bCs w:val="0"/>
          <w:spacing w:val="-5"/>
          <w:sz w:val="21"/>
          <w:szCs w:val="21"/>
          <w:u w:val="none"/>
          <w:lang w:val="zh-CN" w:eastAsia="zh-CN"/>
        </w:rPr>
        <w:t>收取的费用标准以及国家有权机关对证券交易佣金收取标准发生的变动，对代理证券交易佣金标准进行相应的调整。有关调整内容将由乙方在其官方网站以公告方式通知甲方，若甲方在七个交易日内不提出异议，则公告内容生效，并成为本协议组成部分，对甲乙双方均具有法律约束力。</w:t>
      </w:r>
    </w:p>
    <w:p>
      <w:pPr>
        <w:pStyle w:val="2"/>
        <w:spacing w:line="266" w:lineRule="exact"/>
        <w:ind w:left="535"/>
        <w:jc w:val="center"/>
      </w:pPr>
      <w:r>
        <w:t>第</w:t>
      </w:r>
      <w:r>
        <w:rPr>
          <w:rFonts w:hint="eastAsia"/>
          <w:lang w:val="en-US" w:eastAsia="zh-CN"/>
        </w:rPr>
        <w:t>六</w:t>
      </w:r>
      <w:r>
        <w:t>章 责任及免责事项</w:t>
      </w:r>
    </w:p>
    <w:p>
      <w:pPr>
        <w:pStyle w:val="3"/>
        <w:tabs>
          <w:tab w:val="left" w:pos="1802"/>
        </w:tabs>
        <w:spacing w:before="42" w:line="278" w:lineRule="auto"/>
        <w:ind w:right="222"/>
      </w:pPr>
      <w:r>
        <w:rPr>
          <w:b/>
          <w:color w:val="333333"/>
        </w:rPr>
        <w:t>第</w:t>
      </w:r>
      <w:r>
        <w:rPr>
          <w:b/>
        </w:rPr>
        <w:t>三十</w:t>
      </w:r>
      <w:r>
        <w:rPr>
          <w:rFonts w:hint="eastAsia"/>
          <w:b/>
          <w:lang w:val="en-US" w:eastAsia="zh-CN"/>
        </w:rPr>
        <w:t>九</w:t>
      </w:r>
      <w:r>
        <w:rPr>
          <w:b/>
          <w:color w:val="333333"/>
        </w:rPr>
        <w:t>条</w:t>
      </w:r>
      <w:r>
        <w:rPr>
          <w:b/>
          <w:color w:val="333333"/>
        </w:rPr>
        <w:tab/>
      </w:r>
      <w:r>
        <w:rPr>
          <w:color w:val="333333"/>
          <w:spacing w:val="-3"/>
          <w:u w:val="single" w:color="333333"/>
        </w:rPr>
        <w:t>甲</w:t>
      </w:r>
      <w:r>
        <w:rPr>
          <w:color w:val="333333"/>
          <w:u w:val="single" w:color="333333"/>
        </w:rPr>
        <w:t>方</w:t>
      </w:r>
      <w:r>
        <w:rPr>
          <w:spacing w:val="-3"/>
          <w:u w:val="single" w:color="333333"/>
        </w:rPr>
        <w:t>应</w:t>
      </w:r>
      <w:r>
        <w:rPr>
          <w:u w:val="single" w:color="333333"/>
        </w:rPr>
        <w:t>知</w:t>
      </w:r>
      <w:r>
        <w:rPr>
          <w:spacing w:val="-3"/>
          <w:u w:val="single" w:color="333333"/>
        </w:rPr>
        <w:t>晓</w:t>
      </w:r>
      <w:r>
        <w:rPr>
          <w:u w:val="single" w:color="333333"/>
        </w:rPr>
        <w:t>并认</w:t>
      </w:r>
      <w:r>
        <w:rPr>
          <w:spacing w:val="-3"/>
          <w:u w:val="single" w:color="333333"/>
        </w:rPr>
        <w:t>可</w:t>
      </w:r>
      <w:r>
        <w:rPr>
          <w:u w:val="single" w:color="333333"/>
        </w:rPr>
        <w:t>香</w:t>
      </w:r>
      <w:r>
        <w:rPr>
          <w:spacing w:val="-3"/>
          <w:u w:val="single" w:color="333333"/>
        </w:rPr>
        <w:t>港</w:t>
      </w:r>
      <w:r>
        <w:rPr>
          <w:u w:val="single" w:color="333333"/>
        </w:rPr>
        <w:t>结</w:t>
      </w:r>
      <w:r>
        <w:rPr>
          <w:spacing w:val="-3"/>
          <w:u w:val="single" w:color="333333"/>
        </w:rPr>
        <w:t>算</w:t>
      </w:r>
      <w:r>
        <w:rPr>
          <w:u w:val="single" w:color="333333"/>
        </w:rPr>
        <w:t>因</w:t>
      </w:r>
      <w:r>
        <w:rPr>
          <w:spacing w:val="-3"/>
          <w:u w:val="single" w:color="333333"/>
        </w:rPr>
        <w:t>无</w:t>
      </w:r>
      <w:r>
        <w:rPr>
          <w:u w:val="single" w:color="333333"/>
        </w:rPr>
        <w:t>法</w:t>
      </w:r>
      <w:r>
        <w:rPr>
          <w:spacing w:val="-3"/>
          <w:u w:val="single" w:color="333333"/>
        </w:rPr>
        <w:t>交</w:t>
      </w:r>
      <w:r>
        <w:rPr>
          <w:u w:val="single" w:color="333333"/>
        </w:rPr>
        <w:t>付证</w:t>
      </w:r>
      <w:r>
        <w:rPr>
          <w:spacing w:val="-3"/>
          <w:u w:val="single" w:color="333333"/>
        </w:rPr>
        <w:t>券</w:t>
      </w:r>
      <w:r>
        <w:rPr>
          <w:u w:val="single" w:color="333333"/>
        </w:rPr>
        <w:t>对</w:t>
      </w:r>
      <w:r>
        <w:rPr>
          <w:spacing w:val="-3"/>
          <w:u w:val="single" w:color="333333"/>
        </w:rPr>
        <w:t>中</w:t>
      </w:r>
      <w:r>
        <w:rPr>
          <w:u w:val="single" w:color="333333"/>
        </w:rPr>
        <w:t>国</w:t>
      </w:r>
      <w:r>
        <w:rPr>
          <w:spacing w:val="-3"/>
          <w:u w:val="single" w:color="333333"/>
        </w:rPr>
        <w:t>结</w:t>
      </w:r>
      <w:r>
        <w:rPr>
          <w:u w:val="single" w:color="333333"/>
        </w:rPr>
        <w:t>算</w:t>
      </w:r>
      <w:r>
        <w:rPr>
          <w:spacing w:val="-3"/>
          <w:u w:val="single" w:color="333333"/>
        </w:rPr>
        <w:t>实</w:t>
      </w:r>
      <w:r>
        <w:rPr>
          <w:u w:val="single" w:color="333333"/>
        </w:rPr>
        <w:t>施</w:t>
      </w:r>
      <w:r>
        <w:rPr>
          <w:spacing w:val="-3"/>
          <w:u w:val="single" w:color="333333"/>
        </w:rPr>
        <w:t>现</w:t>
      </w:r>
      <w:r>
        <w:rPr>
          <w:u w:val="single" w:color="333333"/>
        </w:rPr>
        <w:t>金结</w:t>
      </w:r>
      <w:r>
        <w:rPr>
          <w:spacing w:val="-3"/>
          <w:u w:val="single" w:color="333333"/>
        </w:rPr>
        <w:t>算</w:t>
      </w:r>
      <w:r>
        <w:rPr>
          <w:u w:val="single" w:color="333333"/>
        </w:rPr>
        <w:t>的</w:t>
      </w:r>
      <w:r>
        <w:rPr>
          <w:spacing w:val="-39"/>
          <w:u w:val="single" w:color="333333"/>
        </w:rPr>
        <w:t>，</w:t>
      </w:r>
      <w:r>
        <w:rPr>
          <w:rFonts w:hint="eastAsia"/>
          <w:spacing w:val="-39"/>
          <w:u w:val="single" w:color="333333"/>
        </w:rPr>
        <w:t>中国结算参照香港结算的处理原则进行相应业务处理</w:t>
      </w:r>
      <w:r>
        <w:rPr>
          <w:spacing w:val="-13"/>
          <w:u w:val="single" w:color="333333"/>
        </w:rPr>
        <w:t>；</w:t>
      </w:r>
      <w:r>
        <w:rPr>
          <w:u w:val="single" w:color="333333"/>
        </w:rPr>
        <w:t>香</w:t>
      </w:r>
      <w:r>
        <w:rPr>
          <w:spacing w:val="-3"/>
          <w:u w:val="single" w:color="333333"/>
        </w:rPr>
        <w:t>港</w:t>
      </w:r>
      <w:r>
        <w:rPr>
          <w:u w:val="single" w:color="333333"/>
        </w:rPr>
        <w:t>结</w:t>
      </w:r>
      <w:r>
        <w:rPr>
          <w:spacing w:val="-3"/>
          <w:u w:val="single" w:color="333333"/>
        </w:rPr>
        <w:t>算</w:t>
      </w:r>
      <w:r>
        <w:rPr>
          <w:u w:val="single" w:color="333333"/>
        </w:rPr>
        <w:t>因风</w:t>
      </w:r>
      <w:r>
        <w:rPr>
          <w:spacing w:val="-3"/>
          <w:u w:val="single" w:color="333333"/>
        </w:rPr>
        <w:t>球</w:t>
      </w:r>
      <w:r>
        <w:rPr>
          <w:spacing w:val="-10"/>
          <w:u w:val="single" w:color="333333"/>
        </w:rPr>
        <w:t>、</w:t>
      </w:r>
      <w:r>
        <w:rPr>
          <w:spacing w:val="-3"/>
          <w:u w:val="single" w:color="333333"/>
        </w:rPr>
        <w:t>黑</w:t>
      </w:r>
      <w:r>
        <w:rPr>
          <w:u w:val="single" w:color="333333"/>
        </w:rPr>
        <w:t>色</w:t>
      </w:r>
      <w:r>
        <w:rPr>
          <w:spacing w:val="-3"/>
          <w:u w:val="single" w:color="333333"/>
        </w:rPr>
        <w:t>暴</w:t>
      </w:r>
      <w:r>
        <w:rPr>
          <w:u w:val="single" w:color="333333"/>
        </w:rPr>
        <w:t>雨</w:t>
      </w:r>
      <w:r>
        <w:rPr>
          <w:spacing w:val="-3"/>
          <w:u w:val="single" w:color="333333"/>
        </w:rPr>
        <w:t>天</w:t>
      </w:r>
      <w:r>
        <w:rPr>
          <w:u w:val="single" w:color="333333"/>
        </w:rPr>
        <w:t>气</w:t>
      </w:r>
      <w:r>
        <w:rPr>
          <w:spacing w:val="-3"/>
          <w:u w:val="single" w:color="333333"/>
        </w:rPr>
        <w:t>等</w:t>
      </w:r>
      <w:r>
        <w:rPr>
          <w:u w:val="single" w:color="333333"/>
        </w:rPr>
        <w:t>原因</w:t>
      </w:r>
      <w:r>
        <w:rPr>
          <w:spacing w:val="-13"/>
          <w:u w:val="single" w:color="333333"/>
        </w:rPr>
        <w:t>，</w:t>
      </w:r>
      <w:r>
        <w:rPr>
          <w:u w:val="single" w:color="333333"/>
        </w:rPr>
        <w:t>临</w:t>
      </w:r>
      <w:r>
        <w:rPr>
          <w:spacing w:val="-3"/>
          <w:u w:val="single" w:color="333333"/>
        </w:rPr>
        <w:t>时</w:t>
      </w:r>
      <w:r>
        <w:rPr>
          <w:u w:val="single" w:color="333333"/>
        </w:rPr>
        <w:t>作</w:t>
      </w:r>
      <w:r>
        <w:rPr>
          <w:spacing w:val="-3"/>
          <w:u w:val="single" w:color="333333"/>
        </w:rPr>
        <w:t>出</w:t>
      </w:r>
      <w:r>
        <w:rPr>
          <w:u w:val="single" w:color="333333"/>
        </w:rPr>
        <w:t>特</w:t>
      </w:r>
      <w:r>
        <w:rPr>
          <w:spacing w:val="-3"/>
          <w:u w:val="single" w:color="333333"/>
        </w:rPr>
        <w:t>殊</w:t>
      </w:r>
      <w:r>
        <w:rPr>
          <w:u w:val="single" w:color="333333"/>
        </w:rPr>
        <w:t>交</w:t>
      </w:r>
      <w:r>
        <w:rPr>
          <w:spacing w:val="-3"/>
          <w:u w:val="single" w:color="333333"/>
        </w:rPr>
        <w:t>收安</w:t>
      </w:r>
      <w:r>
        <w:rPr>
          <w:u w:val="single" w:color="333333"/>
        </w:rPr>
        <w:t xml:space="preserve">排的 </w:t>
      </w:r>
      <w:r>
        <w:rPr>
          <w:spacing w:val="-15"/>
          <w:u w:val="single" w:color="333333"/>
        </w:rPr>
        <w:t>，</w:t>
      </w:r>
      <w:r>
        <w:rPr>
          <w:spacing w:val="-3"/>
          <w:u w:val="single" w:color="333333"/>
        </w:rPr>
        <w:t>中</w:t>
      </w:r>
      <w:r>
        <w:rPr>
          <w:u w:val="single" w:color="333333"/>
        </w:rPr>
        <w:t>国</w:t>
      </w:r>
      <w:r>
        <w:rPr>
          <w:spacing w:val="-3"/>
          <w:u w:val="single" w:color="333333"/>
        </w:rPr>
        <w:t>结</w:t>
      </w:r>
      <w:r>
        <w:rPr>
          <w:u w:val="single" w:color="333333"/>
        </w:rPr>
        <w:t>算</w:t>
      </w:r>
      <w:r>
        <w:rPr>
          <w:spacing w:val="-3"/>
          <w:u w:val="single" w:color="333333"/>
        </w:rPr>
        <w:t>参</w:t>
      </w:r>
      <w:r>
        <w:rPr>
          <w:u w:val="single" w:color="333333"/>
        </w:rPr>
        <w:t>照</w:t>
      </w:r>
      <w:r>
        <w:rPr>
          <w:spacing w:val="-3"/>
          <w:u w:val="single" w:color="333333"/>
        </w:rPr>
        <w:t>香</w:t>
      </w:r>
      <w:r>
        <w:rPr>
          <w:u w:val="single" w:color="333333"/>
        </w:rPr>
        <w:t>港</w:t>
      </w:r>
      <w:r>
        <w:rPr>
          <w:spacing w:val="-3"/>
          <w:u w:val="single" w:color="333333"/>
        </w:rPr>
        <w:t>结</w:t>
      </w:r>
      <w:r>
        <w:rPr>
          <w:u w:val="single" w:color="333333"/>
        </w:rPr>
        <w:t>算的</w:t>
      </w:r>
      <w:r>
        <w:rPr>
          <w:spacing w:val="-3"/>
          <w:u w:val="single" w:color="333333"/>
        </w:rPr>
        <w:t>处</w:t>
      </w:r>
      <w:r>
        <w:rPr>
          <w:u w:val="single" w:color="333333"/>
        </w:rPr>
        <w:t>理</w:t>
      </w:r>
      <w:r>
        <w:rPr>
          <w:spacing w:val="-3"/>
          <w:u w:val="single" w:color="333333"/>
        </w:rPr>
        <w:t>原</w:t>
      </w:r>
      <w:r>
        <w:rPr>
          <w:u w:val="single" w:color="333333"/>
        </w:rPr>
        <w:t>则</w:t>
      </w:r>
      <w:r>
        <w:rPr>
          <w:spacing w:val="-3"/>
          <w:u w:val="single" w:color="333333"/>
        </w:rPr>
        <w:t>进</w:t>
      </w:r>
      <w:r>
        <w:rPr>
          <w:u w:val="single" w:color="333333"/>
        </w:rPr>
        <w:t>行</w:t>
      </w:r>
      <w:r>
        <w:rPr>
          <w:spacing w:val="-3"/>
          <w:u w:val="single" w:color="333333"/>
        </w:rPr>
        <w:t>相</w:t>
      </w:r>
      <w:r>
        <w:rPr>
          <w:u w:val="single" w:color="333333"/>
        </w:rPr>
        <w:t>应</w:t>
      </w:r>
      <w:r>
        <w:rPr>
          <w:spacing w:val="-3"/>
          <w:u w:val="single" w:color="333333"/>
        </w:rPr>
        <w:t>业</w:t>
      </w:r>
      <w:r>
        <w:rPr>
          <w:u w:val="single" w:color="333333"/>
        </w:rPr>
        <w:t>务处</w:t>
      </w:r>
      <w:r>
        <w:rPr>
          <w:spacing w:val="-3"/>
          <w:u w:val="single" w:color="333333"/>
        </w:rPr>
        <w:t>理</w:t>
      </w:r>
      <w:r>
        <w:rPr>
          <w:spacing w:val="-15"/>
          <w:u w:val="single" w:color="333333"/>
        </w:rPr>
        <w:t>。</w:t>
      </w:r>
      <w:r>
        <w:rPr>
          <w:spacing w:val="-3"/>
          <w:u w:val="single" w:color="333333"/>
        </w:rPr>
        <w:t>甲</w:t>
      </w:r>
      <w:r>
        <w:rPr>
          <w:u w:val="single" w:color="333333"/>
        </w:rPr>
        <w:t>方</w:t>
      </w:r>
      <w:r>
        <w:rPr>
          <w:spacing w:val="-3"/>
          <w:u w:val="single" w:color="333333"/>
        </w:rPr>
        <w:t>同</w:t>
      </w:r>
      <w:r>
        <w:rPr>
          <w:u w:val="single" w:color="333333"/>
        </w:rPr>
        <w:t>意</w:t>
      </w:r>
      <w:r>
        <w:rPr>
          <w:spacing w:val="-3"/>
          <w:u w:val="single" w:color="333333"/>
        </w:rPr>
        <w:t>乙</w:t>
      </w:r>
      <w:r>
        <w:rPr>
          <w:u w:val="single" w:color="333333"/>
        </w:rPr>
        <w:t>方</w:t>
      </w:r>
      <w:r>
        <w:rPr>
          <w:spacing w:val="-3"/>
          <w:u w:val="single" w:color="333333"/>
        </w:rPr>
        <w:t>按</w:t>
      </w:r>
      <w:r>
        <w:rPr>
          <w:u w:val="single" w:color="333333"/>
        </w:rPr>
        <w:t>照中</w:t>
      </w:r>
      <w:r>
        <w:rPr>
          <w:spacing w:val="-3"/>
          <w:u w:val="single" w:color="333333"/>
        </w:rPr>
        <w:t>国</w:t>
      </w:r>
      <w:r>
        <w:rPr>
          <w:u w:val="single" w:color="333333"/>
        </w:rPr>
        <w:t>结</w:t>
      </w:r>
      <w:r>
        <w:rPr>
          <w:spacing w:val="-3"/>
          <w:u w:val="single" w:color="333333"/>
        </w:rPr>
        <w:t>算</w:t>
      </w:r>
      <w:r>
        <w:rPr>
          <w:u w:val="single" w:color="333333"/>
        </w:rPr>
        <w:t>的</w:t>
      </w:r>
      <w:r>
        <w:rPr>
          <w:spacing w:val="-3"/>
          <w:u w:val="single" w:color="333333"/>
        </w:rPr>
        <w:t>业</w:t>
      </w:r>
      <w:r>
        <w:rPr>
          <w:u w:val="single" w:color="333333"/>
        </w:rPr>
        <w:t>务</w:t>
      </w:r>
      <w:r>
        <w:rPr>
          <w:spacing w:val="-3"/>
          <w:u w:val="single" w:color="333333"/>
        </w:rPr>
        <w:t>规</w:t>
      </w:r>
      <w:r>
        <w:rPr>
          <w:u w:val="single" w:color="333333"/>
        </w:rPr>
        <w:t>则</w:t>
      </w:r>
      <w:r>
        <w:rPr>
          <w:spacing w:val="-3"/>
          <w:u w:val="single" w:color="333333"/>
        </w:rPr>
        <w:t>进行</w:t>
      </w:r>
      <w:r>
        <w:rPr>
          <w:u w:val="single" w:color="333333"/>
        </w:rPr>
        <w:t>业务</w:t>
      </w:r>
      <w:r>
        <w:rPr>
          <w:spacing w:val="-90"/>
          <w:u w:val="single" w:color="333333"/>
        </w:rPr>
        <w:t>处</w:t>
      </w:r>
      <w:r>
        <w:rPr>
          <w:spacing w:val="-3"/>
          <w:u w:val="single" w:color="333333"/>
        </w:rPr>
        <w:t>理</w:t>
      </w:r>
      <w:r>
        <w:rPr>
          <w:spacing w:val="-68"/>
          <w:u w:val="single" w:color="333333"/>
        </w:rPr>
        <w:t>。</w:t>
      </w:r>
      <w:r>
        <w:rPr>
          <w:spacing w:val="-3"/>
          <w:u w:val="single" w:color="333333"/>
        </w:rPr>
        <w:t>香</w:t>
      </w:r>
      <w:r>
        <w:rPr>
          <w:u w:val="single" w:color="333333"/>
        </w:rPr>
        <w:t>港</w:t>
      </w:r>
      <w:r>
        <w:rPr>
          <w:spacing w:val="-3"/>
          <w:u w:val="single" w:color="333333"/>
        </w:rPr>
        <w:t>结</w:t>
      </w:r>
      <w:r>
        <w:rPr>
          <w:u w:val="single" w:color="333333"/>
        </w:rPr>
        <w:t>算</w:t>
      </w:r>
      <w:r>
        <w:rPr>
          <w:spacing w:val="-3"/>
          <w:u w:val="single" w:color="333333"/>
        </w:rPr>
        <w:t>发</w:t>
      </w:r>
      <w:r>
        <w:rPr>
          <w:u w:val="single" w:color="333333"/>
        </w:rPr>
        <w:t>生</w:t>
      </w:r>
      <w:r>
        <w:rPr>
          <w:spacing w:val="-3"/>
          <w:u w:val="single" w:color="333333"/>
        </w:rPr>
        <w:t>破产</w:t>
      </w:r>
      <w:r>
        <w:rPr>
          <w:u w:val="single" w:color="333333"/>
        </w:rPr>
        <w:t>而导</w:t>
      </w:r>
      <w:r>
        <w:rPr>
          <w:spacing w:val="-3"/>
          <w:u w:val="single" w:color="333333"/>
        </w:rPr>
        <w:t>致</w:t>
      </w:r>
      <w:r>
        <w:rPr>
          <w:u w:val="single" w:color="333333"/>
        </w:rPr>
        <w:t>其</w:t>
      </w:r>
      <w:r>
        <w:rPr>
          <w:spacing w:val="-3"/>
          <w:u w:val="single" w:color="333333"/>
        </w:rPr>
        <w:t>未</w:t>
      </w:r>
      <w:r>
        <w:rPr>
          <w:u w:val="single" w:color="333333"/>
        </w:rPr>
        <w:t>全</w:t>
      </w:r>
      <w:r>
        <w:rPr>
          <w:spacing w:val="-3"/>
          <w:u w:val="single" w:color="333333"/>
        </w:rPr>
        <w:t>部</w:t>
      </w:r>
      <w:r>
        <w:rPr>
          <w:u w:val="single" w:color="333333"/>
        </w:rPr>
        <w:t>履</w:t>
      </w:r>
      <w:r>
        <w:rPr>
          <w:spacing w:val="-3"/>
          <w:u w:val="single" w:color="333333"/>
        </w:rPr>
        <w:t>行</w:t>
      </w:r>
      <w:r>
        <w:rPr>
          <w:u w:val="single" w:color="333333"/>
        </w:rPr>
        <w:t>对</w:t>
      </w:r>
      <w:r>
        <w:rPr>
          <w:spacing w:val="-3"/>
          <w:u w:val="single" w:color="333333"/>
        </w:rPr>
        <w:t>中</w:t>
      </w:r>
      <w:r>
        <w:rPr>
          <w:u w:val="single" w:color="333333"/>
        </w:rPr>
        <w:t>国结</w:t>
      </w:r>
      <w:r>
        <w:rPr>
          <w:spacing w:val="-3"/>
          <w:u w:val="single" w:color="333333"/>
        </w:rPr>
        <w:t>算</w:t>
      </w:r>
      <w:r>
        <w:rPr>
          <w:u w:val="single" w:color="333333"/>
        </w:rPr>
        <w:t>的</w:t>
      </w:r>
      <w:r>
        <w:rPr>
          <w:spacing w:val="-3"/>
          <w:u w:val="single" w:color="333333"/>
        </w:rPr>
        <w:t>交</w:t>
      </w:r>
      <w:r>
        <w:rPr>
          <w:u w:val="single" w:color="333333"/>
        </w:rPr>
        <w:t>收</w:t>
      </w:r>
      <w:r>
        <w:rPr>
          <w:spacing w:val="-3"/>
          <w:u w:val="single" w:color="333333"/>
        </w:rPr>
        <w:t>义</w:t>
      </w:r>
      <w:r>
        <w:rPr>
          <w:u w:val="single" w:color="333333"/>
        </w:rPr>
        <w:t>务</w:t>
      </w:r>
      <w:r>
        <w:rPr>
          <w:spacing w:val="-3"/>
          <w:u w:val="single" w:color="333333"/>
        </w:rPr>
        <w:t>的</w:t>
      </w:r>
      <w:r>
        <w:rPr>
          <w:spacing w:val="-68"/>
          <w:u w:val="single" w:color="333333"/>
        </w:rPr>
        <w:t>，</w:t>
      </w:r>
      <w:r>
        <w:rPr>
          <w:spacing w:val="-3"/>
          <w:u w:val="single" w:color="333333"/>
        </w:rPr>
        <w:t>中国</w:t>
      </w:r>
      <w:r>
        <w:rPr>
          <w:u w:val="single" w:color="333333"/>
        </w:rPr>
        <w:t>结算</w:t>
      </w:r>
      <w:r>
        <w:rPr>
          <w:spacing w:val="-3"/>
          <w:u w:val="single" w:color="333333"/>
        </w:rPr>
        <w:t>协</w:t>
      </w:r>
      <w:r>
        <w:rPr>
          <w:u w:val="single" w:color="333333"/>
        </w:rPr>
        <w:t>助</w:t>
      </w:r>
      <w:r>
        <w:rPr>
          <w:spacing w:val="-3"/>
          <w:u w:val="single" w:color="333333"/>
        </w:rPr>
        <w:t>向</w:t>
      </w:r>
      <w:r>
        <w:rPr>
          <w:u w:val="single" w:color="333333"/>
        </w:rPr>
        <w:t>香</w:t>
      </w:r>
      <w:r>
        <w:rPr>
          <w:spacing w:val="-3"/>
          <w:u w:val="single" w:color="333333"/>
        </w:rPr>
        <w:t>港</w:t>
      </w:r>
      <w:r>
        <w:rPr>
          <w:u w:val="single" w:color="333333"/>
        </w:rPr>
        <w:t>结</w:t>
      </w:r>
      <w:r>
        <w:rPr>
          <w:spacing w:val="-3"/>
          <w:u w:val="single" w:color="333333"/>
        </w:rPr>
        <w:t>算</w:t>
      </w:r>
      <w:r>
        <w:rPr>
          <w:u w:val="single" w:color="333333"/>
        </w:rPr>
        <w:t>追</w:t>
      </w:r>
      <w:r>
        <w:rPr>
          <w:spacing w:val="-3"/>
          <w:u w:val="single" w:color="333333"/>
        </w:rPr>
        <w:t>索</w:t>
      </w:r>
      <w:r>
        <w:rPr>
          <w:u w:val="single" w:color="333333"/>
        </w:rPr>
        <w:t>，但不</w:t>
      </w:r>
      <w:r>
        <w:rPr>
          <w:spacing w:val="-3"/>
          <w:u w:val="single" w:color="333333"/>
        </w:rPr>
        <w:t>承</w:t>
      </w:r>
      <w:r>
        <w:rPr>
          <w:u w:val="single" w:color="333333"/>
        </w:rPr>
        <w:t>担</w:t>
      </w:r>
      <w:r>
        <w:rPr>
          <w:spacing w:val="-3"/>
          <w:u w:val="single" w:color="333333"/>
        </w:rPr>
        <w:t>由</w:t>
      </w:r>
      <w:r>
        <w:rPr>
          <w:u w:val="single" w:color="333333"/>
        </w:rPr>
        <w:t>此</w:t>
      </w:r>
      <w:r>
        <w:rPr>
          <w:spacing w:val="-3"/>
          <w:u w:val="single" w:color="333333"/>
        </w:rPr>
        <w:t>产</w:t>
      </w:r>
      <w:r>
        <w:rPr>
          <w:u w:val="single" w:color="333333"/>
        </w:rPr>
        <w:t>生</w:t>
      </w:r>
      <w:r>
        <w:rPr>
          <w:spacing w:val="-3"/>
          <w:u w:val="single" w:color="333333"/>
        </w:rPr>
        <w:t>的</w:t>
      </w:r>
      <w:r>
        <w:rPr>
          <w:u w:val="single" w:color="333333"/>
        </w:rPr>
        <w:t>相</w:t>
      </w:r>
      <w:r>
        <w:rPr>
          <w:spacing w:val="-3"/>
          <w:u w:val="single" w:color="333333"/>
        </w:rPr>
        <w:t>关</w:t>
      </w:r>
      <w:r>
        <w:rPr>
          <w:u w:val="single" w:color="333333"/>
        </w:rPr>
        <w:t>损失。</w:t>
      </w:r>
    </w:p>
    <w:p>
      <w:pPr>
        <w:pStyle w:val="3"/>
        <w:spacing w:before="5" w:line="278" w:lineRule="auto"/>
        <w:jc w:val="both"/>
      </w:pPr>
      <w:r>
        <w:rPr>
          <w:b/>
          <w:spacing w:val="8"/>
        </w:rPr>
        <w:t>第</w:t>
      </w:r>
      <w:r>
        <w:rPr>
          <w:rFonts w:hint="eastAsia"/>
          <w:b/>
          <w:spacing w:val="8"/>
          <w:lang w:val="en-US" w:eastAsia="zh-CN"/>
        </w:rPr>
        <w:t>四十</w:t>
      </w:r>
      <w:r>
        <w:rPr>
          <w:b/>
          <w:spacing w:val="8"/>
        </w:rPr>
        <w:t xml:space="preserve">条 </w:t>
      </w:r>
      <w:r>
        <w:rPr>
          <w:color w:val="333333"/>
          <w:spacing w:val="-5"/>
          <w:u w:val="single" w:color="333333"/>
        </w:rPr>
        <w:t>甲方出现资金交收违约并造成乙方所属证券公司对中国结算违约的，</w:t>
      </w:r>
      <w:r>
        <w:rPr>
          <w:rFonts w:hint="eastAsia"/>
          <w:color w:val="333333"/>
          <w:spacing w:val="-5"/>
          <w:u w:val="single" w:color="333333"/>
        </w:rPr>
        <w:t>乙方所属证券公司有权将甲方相当于交收违约金额的应收证券指定为暂不交付证券并由中国结算按其业务规则进行处置</w:t>
      </w:r>
      <w:r>
        <w:rPr>
          <w:color w:val="333333"/>
          <w:spacing w:val="-4"/>
          <w:u w:val="single" w:color="333333"/>
        </w:rPr>
        <w:t>。由此造</w:t>
      </w:r>
      <w:r>
        <w:rPr>
          <w:color w:val="333333"/>
          <w:spacing w:val="-3"/>
          <w:u w:val="single" w:color="333333"/>
        </w:rPr>
        <w:t>成的风险、损失和责任，由甲方承担。</w:t>
      </w:r>
    </w:p>
    <w:p>
      <w:pPr>
        <w:pStyle w:val="3"/>
        <w:spacing w:before="4" w:line="278" w:lineRule="auto"/>
        <w:jc w:val="both"/>
      </w:pPr>
      <w:r>
        <w:rPr>
          <w:b/>
          <w:spacing w:val="8"/>
        </w:rPr>
        <w:t>第</w:t>
      </w:r>
      <w:r>
        <w:rPr>
          <w:rFonts w:hint="eastAsia"/>
          <w:b/>
          <w:spacing w:val="8"/>
          <w:lang w:val="en-US" w:eastAsia="zh-CN"/>
        </w:rPr>
        <w:t>四十一</w:t>
      </w:r>
      <w:r>
        <w:rPr>
          <w:b/>
          <w:spacing w:val="8"/>
        </w:rPr>
        <w:t xml:space="preserve">条 </w:t>
      </w:r>
      <w:r>
        <w:rPr>
          <w:color w:val="333333"/>
          <w:spacing w:val="-6"/>
          <w:u w:val="single" w:color="333333"/>
        </w:rPr>
        <w:t>甲方出现证券交收违约的，</w:t>
      </w:r>
      <w:r>
        <w:rPr>
          <w:rFonts w:hint="eastAsia"/>
          <w:color w:val="333333"/>
          <w:spacing w:val="-6"/>
          <w:u w:val="single" w:color="333333"/>
        </w:rPr>
        <w:t>乙方及乙方所属证券公司有权将相当于证券交收违约金额的资金暂不划付给甲方</w:t>
      </w:r>
      <w:r>
        <w:rPr>
          <w:color w:val="333333"/>
          <w:spacing w:val="-3"/>
          <w:u w:val="single" w:color="333333"/>
        </w:rPr>
        <w:t>。</w:t>
      </w:r>
    </w:p>
    <w:p>
      <w:pPr>
        <w:pStyle w:val="3"/>
        <w:spacing w:before="3" w:line="278" w:lineRule="auto"/>
        <w:jc w:val="both"/>
      </w:pPr>
      <w:r>
        <w:rPr>
          <w:b/>
        </w:rPr>
        <w:t>第</w:t>
      </w:r>
      <w:r>
        <w:rPr>
          <w:rFonts w:hint="eastAsia"/>
          <w:b/>
          <w:lang w:val="en-US" w:eastAsia="zh-CN"/>
        </w:rPr>
        <w:t>四十二</w:t>
      </w:r>
      <w:r>
        <w:rPr>
          <w:b/>
          <w:spacing w:val="24"/>
        </w:rPr>
        <w:t xml:space="preserve">条 </w:t>
      </w:r>
      <w:r>
        <w:rPr>
          <w:color w:val="333333"/>
          <w:spacing w:val="-6"/>
          <w:u w:val="single" w:color="333333"/>
        </w:rPr>
        <w:t>港股通交易中发生下列情形之一的，甲方有权向乙方主张权利，</w:t>
      </w:r>
      <w:r>
        <w:rPr>
          <w:rFonts w:hint="eastAsia"/>
          <w:color w:val="333333"/>
          <w:spacing w:val="-6"/>
          <w:u w:val="single" w:color="333333"/>
        </w:rPr>
        <w:t>乙方应承担相应责任并负责赔偿损失</w:t>
      </w:r>
      <w:r>
        <w:rPr>
          <w:color w:val="333333"/>
          <w:spacing w:val="-3"/>
          <w:u w:val="single" w:color="333333"/>
        </w:rPr>
        <w:t>：</w:t>
      </w:r>
    </w:p>
    <w:p>
      <w:pPr>
        <w:pStyle w:val="3"/>
        <w:spacing w:before="2" w:line="278" w:lineRule="auto"/>
        <w:ind w:right="294" w:firstLine="420"/>
      </w:pPr>
      <w:r>
        <w:pict>
          <v:line id="_x0000_s1026" o:spid="_x0000_s1026" o:spt="20" style="position:absolute;left:0pt;margin-left:56.65pt;margin-top:27.9pt;height:0pt;width:21pt;mso-position-horizontal-relative:page;z-index:-251657216;mso-width-relative:page;mso-height-relative:page;" stroked="t" coordsize="21600,21600">
            <v:path arrowok="t"/>
            <v:fill focussize="0,0"/>
            <v:stroke weight="0.6pt" color="#333333"/>
            <v:imagedata o:title=""/>
            <o:lock v:ext="edit"/>
          </v:line>
        </w:pict>
      </w:r>
      <w:r>
        <w:rPr>
          <w:color w:val="333333"/>
          <w:u w:val="single" w:color="333333"/>
        </w:rPr>
        <w:t>（一）乙方所属证券公司未完成与中国结算的集中交收，导致甲方应收资金或证券被暂不交付或处置</w:t>
      </w:r>
      <w:r>
        <w:rPr>
          <w:color w:val="333333"/>
        </w:rPr>
        <w:t>的；</w:t>
      </w:r>
    </w:p>
    <w:p>
      <w:pPr>
        <w:pStyle w:val="3"/>
        <w:spacing w:before="2"/>
        <w:ind w:left="533" w:right="0" w:firstLine="0"/>
      </w:pPr>
      <w:r>
        <w:pict>
          <v:line id="_x0000_s1027" o:spid="_x0000_s1027" o:spt="20" style="position:absolute;left:0pt;margin-left:77.65pt;margin-top:12.3pt;height:0pt;width:420.3pt;mso-position-horizontal-relative:page;z-index:251665408;mso-width-relative:page;mso-height-relative:page;" stroked="t" coordsize="21600,21600">
            <v:path arrowok="t"/>
            <v:fill focussize="0,0"/>
            <v:stroke weight="0.6pt" color="#333333"/>
            <v:imagedata o:title=""/>
            <o:lock v:ext="edit"/>
          </v:line>
        </w:pict>
      </w:r>
      <w:r>
        <w:rPr>
          <w:color w:val="333333"/>
        </w:rPr>
        <w:t>（二）乙方或乙方所属证券公司对甲方出现交收违约导致甲方未能取得应收证券或资金的；</w:t>
      </w:r>
    </w:p>
    <w:p>
      <w:pPr>
        <w:pStyle w:val="3"/>
        <w:spacing w:before="43"/>
        <w:ind w:left="533" w:right="0" w:firstLine="0"/>
      </w:pPr>
      <w:r>
        <w:rPr>
          <w:color w:val="333333"/>
          <w:u w:val="single" w:color="333333"/>
        </w:rPr>
        <w:t>（三）乙方或乙方所属证券公司发送的有关甲方的证券划付指令有误的；</w:t>
      </w:r>
    </w:p>
    <w:p>
      <w:pPr>
        <w:pStyle w:val="3"/>
        <w:spacing w:before="46"/>
        <w:ind w:left="533" w:right="0" w:firstLine="0"/>
      </w:pPr>
      <w:r>
        <w:rPr>
          <w:color w:val="333333"/>
          <w:u w:val="single" w:color="333333"/>
        </w:rPr>
        <w:t>（四）其他因乙方或乙方所属证券公司未遵守相关业务规则导致甲方利益受到损害的。</w:t>
      </w:r>
    </w:p>
    <w:p>
      <w:pPr>
        <w:pStyle w:val="3"/>
        <w:spacing w:before="42" w:line="280" w:lineRule="auto"/>
        <w:jc w:val="both"/>
      </w:pPr>
      <w:r>
        <w:rPr>
          <w:b/>
          <w:color w:val="333333"/>
        </w:rPr>
        <w:t>第</w:t>
      </w:r>
      <w:r>
        <w:rPr>
          <w:rFonts w:hint="eastAsia"/>
          <w:b/>
          <w:color w:val="333333"/>
          <w:lang w:val="en-US" w:eastAsia="zh-CN"/>
        </w:rPr>
        <w:t>四十三</w:t>
      </w:r>
      <w:r>
        <w:rPr>
          <w:b/>
          <w:color w:val="333333"/>
          <w:spacing w:val="24"/>
        </w:rPr>
        <w:t xml:space="preserve">条 </w:t>
      </w:r>
      <w:r>
        <w:rPr>
          <w:spacing w:val="-5"/>
          <w:u w:val="single"/>
        </w:rPr>
        <w:t>甲方因交易系统使用费和证券组合费的收取、汇率的大幅波动、</w:t>
      </w:r>
      <w:r>
        <w:rPr>
          <w:rFonts w:hint="eastAsia"/>
          <w:spacing w:val="-5"/>
          <w:u w:val="single"/>
        </w:rPr>
        <w:t>延迟交收等原因造成资金账户透支的</w:t>
      </w:r>
      <w:r>
        <w:rPr>
          <w:spacing w:val="-7"/>
          <w:u w:val="single"/>
        </w:rPr>
        <w:t>，相应交收资金将由乙方以自有资金先行垫付；甲方卖出其他市场证券或转入资金，将首先填补</w:t>
      </w:r>
      <w:r>
        <w:rPr>
          <w:spacing w:val="-6"/>
          <w:u w:val="single"/>
        </w:rPr>
        <w:t>透支资金，然后才可用于其他证券交易；甲方须向乙方支付其股份托管在甲方但未开通港股通权限期间所</w:t>
      </w:r>
      <w:r>
        <w:rPr>
          <w:spacing w:val="-3"/>
          <w:u w:val="single"/>
        </w:rPr>
        <w:t>应承担的证券组合费；乙方保留对甲方追偿与罚息的权力。</w:t>
      </w:r>
    </w:p>
    <w:p>
      <w:pPr>
        <w:pStyle w:val="3"/>
        <w:spacing w:line="280" w:lineRule="auto"/>
        <w:jc w:val="both"/>
      </w:pPr>
      <w:r>
        <w:rPr>
          <w:b/>
          <w:spacing w:val="8"/>
        </w:rPr>
        <w:t>第四十</w:t>
      </w:r>
      <w:r>
        <w:rPr>
          <w:rFonts w:hint="eastAsia"/>
          <w:b/>
          <w:spacing w:val="8"/>
          <w:lang w:val="en-US" w:eastAsia="zh-CN"/>
        </w:rPr>
        <w:t>四</w:t>
      </w:r>
      <w:r>
        <w:rPr>
          <w:b/>
          <w:spacing w:val="8"/>
        </w:rPr>
        <w:t xml:space="preserve">条 </w:t>
      </w:r>
      <w:r>
        <w:rPr>
          <w:spacing w:val="-8"/>
        </w:rPr>
        <w:t>甲方应知晓并认可，因深交所、中国结算制定、修改业务规则、根据业务规则履行自律监</w:t>
      </w:r>
      <w:r>
        <w:rPr>
          <w:spacing w:val="-9"/>
        </w:rPr>
        <w:t>管职责等造成的损失，深交所、中国结算或乙方不承担责任；因交易异常情况或者深交所、深交所证券交</w:t>
      </w:r>
      <w:r>
        <w:rPr>
          <w:spacing w:val="-8"/>
        </w:rPr>
        <w:t>易服务公司采取的相关措施造成的损失，深交所、深交所证券交易服务公司或乙方不承担责任。甲方不得</w:t>
      </w:r>
      <w:r>
        <w:rPr>
          <w:spacing w:val="-5"/>
        </w:rPr>
        <w:t>基于上述原因向深交所、深交所证券交易服务公司、中国结算或乙方主张赔偿或者其他责任。</w:t>
      </w:r>
    </w:p>
    <w:p>
      <w:pPr>
        <w:pStyle w:val="3"/>
        <w:spacing w:line="278" w:lineRule="auto"/>
        <w:jc w:val="both"/>
      </w:pPr>
      <w:r>
        <w:rPr>
          <w:b/>
          <w:spacing w:val="7"/>
        </w:rPr>
        <w:t>第四十</w:t>
      </w:r>
      <w:r>
        <w:rPr>
          <w:rFonts w:hint="eastAsia"/>
          <w:b/>
          <w:spacing w:val="7"/>
          <w:lang w:val="en-US" w:eastAsia="zh-CN"/>
        </w:rPr>
        <w:t>五</w:t>
      </w:r>
      <w:r>
        <w:rPr>
          <w:b/>
          <w:spacing w:val="7"/>
        </w:rPr>
        <w:t xml:space="preserve">条 </w:t>
      </w:r>
      <w:r>
        <w:rPr>
          <w:spacing w:val="-6"/>
        </w:rPr>
        <w:t>因政策法规修改，法律法规规定的其他情形等因素，导致协议任何一方不能及时或完全</w:t>
      </w:r>
      <w:r>
        <w:rPr>
          <w:spacing w:val="-7"/>
        </w:rPr>
        <w:t>履行协议的，其相应责任应予免除。知悉政策法律变化的一方应该尽快通知另一方，防止双方损失可能的</w:t>
      </w:r>
      <w:r>
        <w:rPr>
          <w:spacing w:val="-5"/>
        </w:rPr>
        <w:t>进一步扩大。</w:t>
      </w:r>
    </w:p>
    <w:p>
      <w:pPr>
        <w:pStyle w:val="3"/>
        <w:spacing w:line="278" w:lineRule="auto"/>
        <w:ind w:right="327"/>
        <w:jc w:val="both"/>
      </w:pPr>
      <w:r>
        <w:rPr>
          <w:b/>
          <w:spacing w:val="6"/>
        </w:rPr>
        <w:t>第四</w:t>
      </w:r>
      <w:r>
        <w:rPr>
          <w:rFonts w:hint="eastAsia"/>
          <w:b/>
          <w:spacing w:val="6"/>
          <w:lang w:val="en-US" w:eastAsia="zh-CN"/>
        </w:rPr>
        <w:t>十六</w:t>
      </w:r>
      <w:r>
        <w:rPr>
          <w:b/>
          <w:spacing w:val="6"/>
        </w:rPr>
        <w:t xml:space="preserve">条 </w:t>
      </w:r>
      <w:r>
        <w:rPr>
          <w:spacing w:val="-14"/>
          <w:u w:val="single"/>
        </w:rPr>
        <w:t>因地震、台风、水灾、火灾、战争、瘟疫、社会动乱及其他不可抗力因素导致的甲方损</w:t>
      </w:r>
      <w:r>
        <w:rPr>
          <w:rFonts w:hint="eastAsia"/>
          <w:spacing w:val="-14"/>
          <w:u w:val="single"/>
        </w:rPr>
        <w:t>失，乙方不承担任何赔偿责任</w:t>
      </w:r>
      <w:r>
        <w:rPr>
          <w:spacing w:val="-3"/>
          <w:u w:val="single"/>
        </w:rPr>
        <w:t>。</w:t>
      </w:r>
    </w:p>
    <w:p>
      <w:pPr>
        <w:pStyle w:val="3"/>
        <w:spacing w:line="278" w:lineRule="auto"/>
        <w:jc w:val="both"/>
      </w:pPr>
      <w:r>
        <w:rPr>
          <w:b/>
          <w:spacing w:val="7"/>
        </w:rPr>
        <w:t>第四十</w:t>
      </w:r>
      <w:r>
        <w:rPr>
          <w:rFonts w:hint="eastAsia"/>
          <w:b/>
          <w:spacing w:val="7"/>
          <w:lang w:val="en-US" w:eastAsia="zh-CN"/>
        </w:rPr>
        <w:t>七</w:t>
      </w:r>
      <w:r>
        <w:rPr>
          <w:b/>
          <w:spacing w:val="7"/>
        </w:rPr>
        <w:t xml:space="preserve">条 </w:t>
      </w:r>
      <w:r>
        <w:rPr>
          <w:spacing w:val="-6"/>
          <w:u w:val="single"/>
        </w:rPr>
        <w:t>因乙方不可预测或无法控制的系统故障、设备故障、通讯故障、</w:t>
      </w:r>
      <w:r>
        <w:rPr>
          <w:rFonts w:hint="eastAsia"/>
          <w:spacing w:val="-6"/>
          <w:u w:val="single"/>
        </w:rPr>
        <w:t>电力故障等突发事故及其它非乙方人为因素</w:t>
      </w:r>
      <w:r>
        <w:rPr>
          <w:spacing w:val="-6"/>
          <w:u w:val="single"/>
        </w:rPr>
        <w:t>，以及监管机关或行业协会规定的其他免责情形，给甲方造成的损失，乙方如无过错则不</w:t>
      </w:r>
      <w:r>
        <w:rPr>
          <w:spacing w:val="-3"/>
          <w:u w:val="single"/>
        </w:rPr>
        <w:t>承担任何赔偿责任。</w:t>
      </w:r>
    </w:p>
    <w:p>
      <w:pPr>
        <w:pStyle w:val="3"/>
        <w:spacing w:line="278" w:lineRule="auto"/>
        <w:jc w:val="both"/>
        <w:rPr>
          <w:spacing w:val="-3"/>
          <w:u w:val="single"/>
        </w:rPr>
      </w:pPr>
      <w:r>
        <w:rPr>
          <w:b/>
          <w:spacing w:val="8"/>
        </w:rPr>
        <w:t>第四十</w:t>
      </w:r>
      <w:r>
        <w:rPr>
          <w:rFonts w:hint="eastAsia"/>
          <w:b/>
          <w:spacing w:val="8"/>
          <w:lang w:val="en-US" w:eastAsia="zh-CN"/>
        </w:rPr>
        <w:t>八</w:t>
      </w:r>
      <w:r>
        <w:rPr>
          <w:b/>
          <w:spacing w:val="8"/>
        </w:rPr>
        <w:t xml:space="preserve">条 </w:t>
      </w:r>
      <w:r>
        <w:rPr>
          <w:spacing w:val="-6"/>
          <w:u w:val="single"/>
        </w:rPr>
        <w:t>甲方与乙方任何分支机构、</w:t>
      </w:r>
      <w:r>
        <w:rPr>
          <w:rFonts w:hint="eastAsia"/>
          <w:spacing w:val="-6"/>
          <w:u w:val="single"/>
        </w:rPr>
        <w:t>工作人员私下签订的全权委托协议或约定的有关全权委托或分享投资收益</w:t>
      </w:r>
      <w:r>
        <w:rPr>
          <w:spacing w:val="-8"/>
          <w:u w:val="single"/>
        </w:rPr>
        <w:t>、分担投资损失之事项，均属违反本协议约定、乙方管理制度及国家法律法规规定，其协议和约</w:t>
      </w:r>
      <w:r>
        <w:rPr>
          <w:spacing w:val="-3"/>
          <w:u w:val="single"/>
        </w:rPr>
        <w:t>定事项无效，由此产生的损失乙方不承担赔偿责任。</w:t>
      </w:r>
    </w:p>
    <w:p>
      <w:pPr>
        <w:pStyle w:val="4"/>
        <w:keepNext w:val="0"/>
        <w:keepLines w:val="0"/>
        <w:widowControl/>
        <w:suppressLineNumbers w:val="0"/>
        <w:spacing w:before="75" w:beforeAutospacing="0" w:after="75" w:afterAutospacing="0"/>
        <w:ind w:left="0" w:right="0" w:firstLine="0"/>
        <w:jc w:val="both"/>
        <w:rPr>
          <w:rFonts w:hint="eastAsia" w:ascii="仿宋" w:hAnsi="仿宋" w:eastAsia="仿宋" w:cs="仿宋"/>
          <w:b w:val="0"/>
          <w:bCs w:val="0"/>
          <w:color w:val="484848"/>
          <w:sz w:val="21"/>
          <w:szCs w:val="21"/>
          <w:highlight w:val="none"/>
          <w:u w:val="single"/>
          <w:lang w:val="en-US" w:eastAsia="zh-CN"/>
        </w:rPr>
      </w:pPr>
      <w:r>
        <w:rPr>
          <w:rFonts w:hint="eastAsia" w:cs="仿宋"/>
          <w:b/>
          <w:bCs w:val="0"/>
          <w:spacing w:val="8"/>
          <w:sz w:val="21"/>
          <w:szCs w:val="21"/>
          <w:lang w:val="zh-CN" w:eastAsia="zh-CN" w:bidi="zh-CN"/>
        </w:rPr>
        <w:t>　　</w:t>
      </w:r>
      <w:r>
        <w:rPr>
          <w:rFonts w:hint="default" w:ascii="仿宋" w:hAnsi="仿宋" w:eastAsia="仿宋" w:cs="仿宋"/>
          <w:b/>
          <w:bCs w:val="0"/>
          <w:spacing w:val="8"/>
          <w:sz w:val="21"/>
          <w:szCs w:val="21"/>
          <w:lang w:val="zh-CN" w:eastAsia="zh-CN" w:bidi="zh-CN"/>
        </w:rPr>
        <w:t>第四十</w:t>
      </w:r>
      <w:r>
        <w:rPr>
          <w:rFonts w:hint="eastAsia" w:cs="仿宋"/>
          <w:b/>
          <w:bCs w:val="0"/>
          <w:spacing w:val="8"/>
          <w:sz w:val="21"/>
          <w:szCs w:val="21"/>
          <w:lang w:val="en-US" w:eastAsia="zh-CN" w:bidi="zh-CN"/>
        </w:rPr>
        <w:t>九</w:t>
      </w:r>
      <w:r>
        <w:rPr>
          <w:rFonts w:hint="default" w:ascii="仿宋" w:hAnsi="仿宋" w:eastAsia="仿宋" w:cs="仿宋"/>
          <w:b/>
          <w:bCs w:val="0"/>
          <w:spacing w:val="8"/>
          <w:sz w:val="21"/>
          <w:szCs w:val="21"/>
          <w:lang w:val="zh-CN" w:eastAsia="zh-CN" w:bidi="zh-CN"/>
        </w:rPr>
        <w:t>条</w:t>
      </w:r>
      <w:r>
        <w:rPr>
          <w:rFonts w:hint="default" w:ascii="仿宋" w:hAnsi="仿宋" w:eastAsia="仿宋" w:cs="仿宋"/>
          <w:b w:val="0"/>
          <w:bCs w:val="0"/>
          <w:spacing w:val="-6"/>
          <w:sz w:val="21"/>
          <w:szCs w:val="21"/>
          <w:u w:val="none"/>
          <w:lang w:val="zh-CN" w:eastAsia="zh-CN" w:bidi="zh-CN"/>
        </w:rPr>
        <w:t xml:space="preserve">  </w:t>
      </w:r>
      <w:r>
        <w:rPr>
          <w:rFonts w:hint="default" w:ascii="仿宋" w:hAnsi="仿宋" w:eastAsia="仿宋" w:cs="仿宋"/>
          <w:b w:val="0"/>
          <w:bCs w:val="0"/>
          <w:spacing w:val="-6"/>
          <w:sz w:val="21"/>
          <w:szCs w:val="21"/>
          <w:u w:val="single"/>
          <w:lang w:val="zh-CN" w:eastAsia="zh-CN" w:bidi="zh-CN"/>
        </w:rPr>
        <w:t>交易所安排在新增港股通交易日，投资者可以参与港股通交易。新增交易日是指交易当日至其对应的港股交收日（含）期间，至少有1日为内地节假日且为香港地区非节假日的内地与香港市场共同交易日。类QFII客户在新增港股通交易日资金使用安排与其他港股通交易日可能存在不同。甲方的资金、交易如因上述安排受到影响的，乙方不承担责任。</w:t>
      </w:r>
    </w:p>
    <w:p>
      <w:pPr>
        <w:pStyle w:val="3"/>
        <w:spacing w:line="278" w:lineRule="auto"/>
        <w:jc w:val="both"/>
        <w:rPr>
          <w:spacing w:val="-3"/>
          <w:u w:val="single"/>
        </w:rPr>
      </w:pPr>
    </w:p>
    <w:p>
      <w:pPr>
        <w:pStyle w:val="2"/>
        <w:spacing w:before="1"/>
        <w:ind w:left="3349"/>
        <w:jc w:val="both"/>
      </w:pPr>
      <w:r>
        <w:t>第</w:t>
      </w:r>
      <w:r>
        <w:rPr>
          <w:rFonts w:hint="eastAsia"/>
          <w:lang w:val="en-US" w:eastAsia="zh-CN"/>
        </w:rPr>
        <w:t>七</w:t>
      </w:r>
      <w:r>
        <w:t>章 协议的生效、变更与终止</w:t>
      </w:r>
    </w:p>
    <w:p>
      <w:pPr>
        <w:pStyle w:val="3"/>
        <w:tabs>
          <w:tab w:val="left" w:pos="1908"/>
        </w:tabs>
        <w:spacing w:before="44"/>
        <w:ind w:left="535" w:right="0" w:firstLine="0"/>
      </w:pPr>
      <w:r>
        <w:rPr>
          <w:b/>
        </w:rPr>
        <w:t>第</w:t>
      </w:r>
      <w:r>
        <w:rPr>
          <w:rFonts w:hint="eastAsia"/>
          <w:b/>
          <w:lang w:val="en-US" w:eastAsia="zh-CN"/>
        </w:rPr>
        <w:t>五十</w:t>
      </w:r>
      <w:r>
        <w:rPr>
          <w:b/>
        </w:rPr>
        <w:t>条</w:t>
      </w:r>
      <w:r>
        <w:rPr>
          <w:b/>
        </w:rPr>
        <w:tab/>
      </w:r>
      <w:r>
        <w:rPr>
          <w:spacing w:val="-3"/>
        </w:rPr>
        <w:t>本</w:t>
      </w:r>
      <w:r>
        <w:t>协</w:t>
      </w:r>
      <w:r>
        <w:rPr>
          <w:spacing w:val="-3"/>
        </w:rPr>
        <w:t>议</w:t>
      </w:r>
      <w:r>
        <w:t>可</w:t>
      </w:r>
      <w:r>
        <w:rPr>
          <w:spacing w:val="-3"/>
        </w:rPr>
        <w:t>采</w:t>
      </w:r>
      <w:r>
        <w:t>用电</w:t>
      </w:r>
      <w:r>
        <w:rPr>
          <w:spacing w:val="-3"/>
        </w:rPr>
        <w:t>子</w:t>
      </w:r>
      <w:r>
        <w:t>方</w:t>
      </w:r>
      <w:r>
        <w:rPr>
          <w:spacing w:val="-3"/>
        </w:rPr>
        <w:t>式</w:t>
      </w:r>
      <w:r>
        <w:t>、</w:t>
      </w:r>
      <w:r>
        <w:rPr>
          <w:spacing w:val="-3"/>
        </w:rPr>
        <w:t>无</w:t>
      </w:r>
      <w:r>
        <w:t>纸</w:t>
      </w:r>
      <w:r>
        <w:rPr>
          <w:spacing w:val="-3"/>
        </w:rPr>
        <w:t>化</w:t>
      </w:r>
      <w:r>
        <w:t>电</w:t>
      </w:r>
      <w:r>
        <w:rPr>
          <w:spacing w:val="-3"/>
        </w:rPr>
        <w:t>子</w:t>
      </w:r>
      <w:r>
        <w:t>签名</w:t>
      </w:r>
      <w:r>
        <w:rPr>
          <w:spacing w:val="-3"/>
        </w:rPr>
        <w:t>方</w:t>
      </w:r>
      <w:r>
        <w:t>式</w:t>
      </w:r>
      <w:r>
        <w:rPr>
          <w:spacing w:val="-3"/>
        </w:rPr>
        <w:t>或</w:t>
      </w:r>
      <w:r>
        <w:t>纸</w:t>
      </w:r>
      <w:r>
        <w:rPr>
          <w:spacing w:val="-3"/>
        </w:rPr>
        <w:t>质</w:t>
      </w:r>
      <w:r>
        <w:t>方</w:t>
      </w:r>
      <w:r>
        <w:rPr>
          <w:spacing w:val="-3"/>
        </w:rPr>
        <w:t>式</w:t>
      </w:r>
      <w:r>
        <w:t>签</w:t>
      </w:r>
      <w:r>
        <w:rPr>
          <w:spacing w:val="-3"/>
        </w:rPr>
        <w:t>署</w:t>
      </w:r>
      <w:r>
        <w:t>。</w:t>
      </w:r>
    </w:p>
    <w:p>
      <w:pPr>
        <w:pStyle w:val="3"/>
        <w:spacing w:before="45" w:line="278" w:lineRule="auto"/>
        <w:ind w:firstLine="420"/>
      </w:pPr>
      <w:r>
        <w:rPr>
          <w:spacing w:val="-5"/>
        </w:rPr>
        <w:t>采用电子方式签署本协议的，甲方以电子签名方式签署本协议后本协议即告生效，甲方电子签名与在</w:t>
      </w:r>
      <w:r>
        <w:rPr>
          <w:spacing w:val="-4"/>
        </w:rPr>
        <w:t>纸质合同上手写签名或盖章具有同等法律效力，无须另行签署纸质协议。</w:t>
      </w:r>
    </w:p>
    <w:p>
      <w:pPr>
        <w:pStyle w:val="3"/>
        <w:spacing w:before="3" w:line="278" w:lineRule="auto"/>
        <w:ind w:right="117" w:firstLine="420"/>
      </w:pPr>
      <w:r>
        <w:rPr>
          <w:spacing w:val="-5"/>
        </w:rPr>
        <w:t>采用无纸化电子签名方式签署本协议的，甲方以手写真迹电子签名方式签署本协议后本协议即告生效，</w:t>
      </w:r>
      <w:r>
        <w:rPr>
          <w:spacing w:val="-4"/>
        </w:rPr>
        <w:t>甲方手写真迹电子签名与在纸质合同上签名或盖章具有同等法律效力，无须另行签署纸质协议。</w:t>
      </w:r>
    </w:p>
    <w:p>
      <w:pPr>
        <w:pStyle w:val="3"/>
        <w:spacing w:before="2" w:line="278" w:lineRule="auto"/>
        <w:ind w:firstLine="420"/>
      </w:pPr>
      <w:r>
        <w:rPr>
          <w:spacing w:val="-6"/>
        </w:rPr>
        <w:t>采用纸质方式签署本协议的，本协议自双方签字或盖章之日起生效。本协议一式两份，甲乙双方各执</w:t>
      </w:r>
      <w:r>
        <w:rPr>
          <w:spacing w:val="-4"/>
        </w:rPr>
        <w:t>一份，每份具有同等的法律效力。</w:t>
      </w:r>
    </w:p>
    <w:p>
      <w:pPr>
        <w:pStyle w:val="3"/>
        <w:spacing w:before="2" w:line="278" w:lineRule="auto"/>
        <w:ind w:right="325"/>
        <w:jc w:val="both"/>
      </w:pPr>
      <w:r>
        <w:rPr>
          <w:b/>
          <w:spacing w:val="6"/>
        </w:rPr>
        <w:t>第</w:t>
      </w:r>
      <w:r>
        <w:rPr>
          <w:rFonts w:hint="eastAsia"/>
          <w:b/>
          <w:spacing w:val="6"/>
          <w:lang w:val="en-US" w:eastAsia="zh-CN"/>
        </w:rPr>
        <w:t>五十一</w:t>
      </w:r>
      <w:r>
        <w:rPr>
          <w:b/>
          <w:spacing w:val="6"/>
        </w:rPr>
        <w:t xml:space="preserve">条 </w:t>
      </w:r>
      <w:r>
        <w:rPr>
          <w:spacing w:val="-5"/>
        </w:rPr>
        <w:t>本协议签署并生效后，若有关法律、法规、规章、规范性文件、自律规则、证券登记结</w:t>
      </w:r>
      <w:r>
        <w:rPr>
          <w:spacing w:val="-6"/>
        </w:rPr>
        <w:t>算机构业务规则以及证券交易所交易规则修订，本协议相关条款与其中强制性规定发生冲突的，按新修订</w:t>
      </w:r>
      <w:r>
        <w:rPr>
          <w:spacing w:val="-13"/>
        </w:rPr>
        <w:t>的法律、法规、规章、规范性文件、自律规则 、业务规则及交易规则办理，但本协议其他内容及条款继续有效。</w:t>
      </w:r>
    </w:p>
    <w:p>
      <w:pPr>
        <w:pStyle w:val="3"/>
        <w:tabs>
          <w:tab w:val="left" w:pos="1802"/>
        </w:tabs>
        <w:spacing w:before="5" w:line="278" w:lineRule="auto"/>
        <w:ind w:right="229"/>
      </w:pPr>
      <w:r>
        <w:rPr>
          <w:b/>
        </w:rPr>
        <w:t>第</w:t>
      </w:r>
      <w:r>
        <w:rPr>
          <w:rFonts w:hint="eastAsia"/>
          <w:b/>
          <w:lang w:val="en-US" w:eastAsia="zh-CN"/>
        </w:rPr>
        <w:t>五十二</w:t>
      </w:r>
      <w:r>
        <w:rPr>
          <w:b/>
        </w:rPr>
        <w:t>条</w:t>
      </w:r>
      <w:r>
        <w:rPr>
          <w:b/>
        </w:rPr>
        <w:tab/>
      </w:r>
      <w:r>
        <w:rPr>
          <w:spacing w:val="-3"/>
        </w:rPr>
        <w:t>本</w:t>
      </w:r>
      <w:r>
        <w:t>协</w:t>
      </w:r>
      <w:r>
        <w:rPr>
          <w:spacing w:val="-3"/>
        </w:rPr>
        <w:t>议</w:t>
      </w:r>
      <w:r>
        <w:t>签</w:t>
      </w:r>
      <w:r>
        <w:rPr>
          <w:spacing w:val="-3"/>
        </w:rPr>
        <w:t>署</w:t>
      </w:r>
      <w:r>
        <w:t>并生</w:t>
      </w:r>
      <w:r>
        <w:rPr>
          <w:spacing w:val="-3"/>
        </w:rPr>
        <w:t>效</w:t>
      </w:r>
      <w:r>
        <w:t>后</w:t>
      </w:r>
      <w:r>
        <w:rPr>
          <w:spacing w:val="-15"/>
        </w:rPr>
        <w:t>，</w:t>
      </w:r>
      <w:r>
        <w:t>若</w:t>
      </w:r>
      <w:r>
        <w:rPr>
          <w:spacing w:val="-3"/>
        </w:rPr>
        <w:t>前</w:t>
      </w:r>
      <w:r>
        <w:t>款</w:t>
      </w:r>
      <w:r>
        <w:rPr>
          <w:spacing w:val="-3"/>
        </w:rPr>
        <w:t>所</w:t>
      </w:r>
      <w:r>
        <w:t>述</w:t>
      </w:r>
      <w:r>
        <w:rPr>
          <w:spacing w:val="-3"/>
        </w:rPr>
        <w:t>法</w:t>
      </w:r>
      <w:r>
        <w:t>律</w:t>
      </w:r>
      <w:r>
        <w:rPr>
          <w:spacing w:val="-13"/>
        </w:rPr>
        <w:t>、</w:t>
      </w:r>
      <w:r>
        <w:rPr>
          <w:spacing w:val="-3"/>
        </w:rPr>
        <w:t>法</w:t>
      </w:r>
      <w:r>
        <w:t>规</w:t>
      </w:r>
      <w:r>
        <w:rPr>
          <w:spacing w:val="-3"/>
        </w:rPr>
        <w:t>等</w:t>
      </w:r>
      <w:r>
        <w:t>规</w:t>
      </w:r>
      <w:r>
        <w:rPr>
          <w:spacing w:val="-3"/>
        </w:rPr>
        <w:t>范</w:t>
      </w:r>
      <w:r>
        <w:t>性</w:t>
      </w:r>
      <w:r>
        <w:rPr>
          <w:spacing w:val="-3"/>
        </w:rPr>
        <w:t>文</w:t>
      </w:r>
      <w:r>
        <w:t>件</w:t>
      </w:r>
      <w:r>
        <w:rPr>
          <w:spacing w:val="-3"/>
        </w:rPr>
        <w:t>发</w:t>
      </w:r>
      <w:r>
        <w:t>生修</w:t>
      </w:r>
      <w:r>
        <w:rPr>
          <w:spacing w:val="-3"/>
        </w:rPr>
        <w:t>订</w:t>
      </w:r>
      <w:r>
        <w:rPr>
          <w:spacing w:val="-13"/>
        </w:rPr>
        <w:t>，</w:t>
      </w:r>
      <w:r>
        <w:rPr>
          <w:spacing w:val="-3"/>
        </w:rPr>
        <w:t>本</w:t>
      </w:r>
      <w:r>
        <w:t>协</w:t>
      </w:r>
      <w:r>
        <w:rPr>
          <w:spacing w:val="-3"/>
        </w:rPr>
        <w:t>议</w:t>
      </w:r>
      <w:r>
        <w:t>相</w:t>
      </w:r>
      <w:r>
        <w:rPr>
          <w:spacing w:val="-3"/>
        </w:rPr>
        <w:t>关条</w:t>
      </w:r>
      <w:r>
        <w:t>款与其</w:t>
      </w:r>
      <w:r>
        <w:rPr>
          <w:spacing w:val="-3"/>
        </w:rPr>
        <w:t>中</w:t>
      </w:r>
      <w:r>
        <w:t>规</w:t>
      </w:r>
      <w:r>
        <w:rPr>
          <w:spacing w:val="-3"/>
        </w:rPr>
        <w:t>定</w:t>
      </w:r>
      <w:r>
        <w:t>存</w:t>
      </w:r>
      <w:r>
        <w:rPr>
          <w:spacing w:val="-3"/>
        </w:rPr>
        <w:t>在</w:t>
      </w:r>
      <w:r>
        <w:t>差</w:t>
      </w:r>
      <w:r>
        <w:rPr>
          <w:spacing w:val="-3"/>
        </w:rPr>
        <w:t>异</w:t>
      </w:r>
      <w:r>
        <w:rPr>
          <w:spacing w:val="-15"/>
        </w:rPr>
        <w:t>，</w:t>
      </w:r>
      <w:r>
        <w:rPr>
          <w:spacing w:val="-3"/>
        </w:rPr>
        <w:t>乙</w:t>
      </w:r>
      <w:r>
        <w:t>方认</w:t>
      </w:r>
      <w:r>
        <w:rPr>
          <w:spacing w:val="-3"/>
        </w:rPr>
        <w:t>为</w:t>
      </w:r>
      <w:r>
        <w:t>应</w:t>
      </w:r>
      <w:r>
        <w:rPr>
          <w:spacing w:val="-3"/>
        </w:rPr>
        <w:t>据</w:t>
      </w:r>
      <w:r>
        <w:t>此</w:t>
      </w:r>
      <w:r>
        <w:rPr>
          <w:spacing w:val="-3"/>
        </w:rPr>
        <w:t>修</w:t>
      </w:r>
      <w:r>
        <w:t>改</w:t>
      </w:r>
      <w:r>
        <w:rPr>
          <w:spacing w:val="-3"/>
        </w:rPr>
        <w:t>或</w:t>
      </w:r>
      <w:r>
        <w:t>变</w:t>
      </w:r>
      <w:r>
        <w:rPr>
          <w:spacing w:val="-3"/>
        </w:rPr>
        <w:t>更</w:t>
      </w:r>
      <w:r>
        <w:t>本协</w:t>
      </w:r>
      <w:r>
        <w:rPr>
          <w:spacing w:val="-3"/>
        </w:rPr>
        <w:t>议</w:t>
      </w:r>
      <w:r>
        <w:t>的</w:t>
      </w:r>
      <w:r>
        <w:rPr>
          <w:spacing w:val="-17"/>
        </w:rPr>
        <w:t>，</w:t>
      </w:r>
      <w:r>
        <w:t>有</w:t>
      </w:r>
      <w:r>
        <w:rPr>
          <w:spacing w:val="-3"/>
        </w:rPr>
        <w:t>关</w:t>
      </w:r>
      <w:r>
        <w:t>内</w:t>
      </w:r>
      <w:r>
        <w:rPr>
          <w:spacing w:val="-3"/>
        </w:rPr>
        <w:t>容</w:t>
      </w:r>
      <w:r>
        <w:t>将</w:t>
      </w:r>
      <w:r>
        <w:rPr>
          <w:spacing w:val="-3"/>
        </w:rPr>
        <w:t>由</w:t>
      </w:r>
      <w:r>
        <w:t>乙方</w:t>
      </w:r>
      <w:r>
        <w:rPr>
          <w:spacing w:val="-3"/>
        </w:rPr>
        <w:t>在</w:t>
      </w:r>
      <w:r>
        <w:t>其</w:t>
      </w:r>
      <w:r>
        <w:rPr>
          <w:spacing w:val="-3"/>
        </w:rPr>
        <w:t>经</w:t>
      </w:r>
      <w:r>
        <w:t>营</w:t>
      </w:r>
      <w:r>
        <w:rPr>
          <w:spacing w:val="-3"/>
        </w:rPr>
        <w:t>场</w:t>
      </w:r>
      <w:r>
        <w:t>所</w:t>
      </w:r>
      <w:r>
        <w:rPr>
          <w:spacing w:val="-3"/>
        </w:rPr>
        <w:t>或</w:t>
      </w:r>
      <w:r>
        <w:t>网</w:t>
      </w:r>
      <w:r>
        <w:rPr>
          <w:spacing w:val="-3"/>
        </w:rPr>
        <w:t>站以</w:t>
      </w:r>
      <w:r>
        <w:t>公告方式通知甲方，若甲方在七个港股通交易日内不提出异议，则公告内容生效，并成为本协议组成部分</w:t>
      </w:r>
      <w:r>
        <w:rPr>
          <w:spacing w:val="-16"/>
        </w:rPr>
        <w:t>，</w:t>
      </w:r>
      <w:r>
        <w:t>对甲</w:t>
      </w:r>
      <w:r>
        <w:rPr>
          <w:spacing w:val="-3"/>
        </w:rPr>
        <w:t>乙</w:t>
      </w:r>
      <w:r>
        <w:t>双</w:t>
      </w:r>
      <w:r>
        <w:rPr>
          <w:spacing w:val="-3"/>
        </w:rPr>
        <w:t>方</w:t>
      </w:r>
      <w:r>
        <w:t>均</w:t>
      </w:r>
      <w:r>
        <w:rPr>
          <w:spacing w:val="-3"/>
        </w:rPr>
        <w:t>具</w:t>
      </w:r>
      <w:r>
        <w:t>有</w:t>
      </w:r>
      <w:r>
        <w:rPr>
          <w:spacing w:val="-3"/>
        </w:rPr>
        <w:t>法</w:t>
      </w:r>
      <w:r>
        <w:t>律</w:t>
      </w:r>
      <w:r>
        <w:rPr>
          <w:spacing w:val="-3"/>
        </w:rPr>
        <w:t>约</w:t>
      </w:r>
      <w:r>
        <w:t>束力。</w:t>
      </w:r>
    </w:p>
    <w:p>
      <w:pPr>
        <w:pStyle w:val="3"/>
        <w:tabs>
          <w:tab w:val="left" w:pos="1802"/>
        </w:tabs>
        <w:spacing w:before="5"/>
        <w:ind w:left="535" w:right="0" w:firstLine="0"/>
      </w:pPr>
      <w:r>
        <w:rPr>
          <w:b/>
        </w:rPr>
        <w:t>第</w:t>
      </w:r>
      <w:r>
        <w:rPr>
          <w:rFonts w:hint="eastAsia"/>
          <w:b/>
          <w:lang w:val="en-US" w:eastAsia="zh-CN"/>
        </w:rPr>
        <w:t>五十三</w:t>
      </w:r>
      <w:r>
        <w:rPr>
          <w:b/>
        </w:rPr>
        <w:t>条</w:t>
      </w:r>
      <w:r>
        <w:rPr>
          <w:b/>
        </w:rPr>
        <w:tab/>
      </w:r>
      <w:r>
        <w:rPr>
          <w:spacing w:val="-3"/>
        </w:rPr>
        <w:t>乙</w:t>
      </w:r>
      <w:r>
        <w:t>方</w:t>
      </w:r>
      <w:r>
        <w:rPr>
          <w:spacing w:val="-3"/>
        </w:rPr>
        <w:t>应</w:t>
      </w:r>
      <w:r>
        <w:t>及</w:t>
      </w:r>
      <w:r>
        <w:rPr>
          <w:spacing w:val="-3"/>
        </w:rPr>
        <w:t>时</w:t>
      </w:r>
      <w:r>
        <w:t>为甲</w:t>
      </w:r>
      <w:r>
        <w:rPr>
          <w:spacing w:val="-3"/>
        </w:rPr>
        <w:t>方</w:t>
      </w:r>
      <w:r>
        <w:t>办</w:t>
      </w:r>
      <w:r>
        <w:rPr>
          <w:spacing w:val="-3"/>
        </w:rPr>
        <w:t>理</w:t>
      </w:r>
      <w:r>
        <w:t>证</w:t>
      </w:r>
      <w:r>
        <w:rPr>
          <w:spacing w:val="-3"/>
        </w:rPr>
        <w:t>券</w:t>
      </w:r>
      <w:r>
        <w:t>账</w:t>
      </w:r>
      <w:r>
        <w:rPr>
          <w:spacing w:val="-3"/>
        </w:rPr>
        <w:t>户</w:t>
      </w:r>
      <w:r>
        <w:t>注</w:t>
      </w:r>
      <w:r>
        <w:rPr>
          <w:spacing w:val="-3"/>
        </w:rPr>
        <w:t>销</w:t>
      </w:r>
      <w:r>
        <w:t>业务</w:t>
      </w:r>
      <w:r>
        <w:rPr>
          <w:spacing w:val="-3"/>
        </w:rPr>
        <w:t>，</w:t>
      </w:r>
      <w:r>
        <w:t>但</w:t>
      </w:r>
      <w:r>
        <w:rPr>
          <w:spacing w:val="-3"/>
        </w:rPr>
        <w:t>甲</w:t>
      </w:r>
      <w:r>
        <w:t>方</w:t>
      </w:r>
      <w:r>
        <w:rPr>
          <w:spacing w:val="-3"/>
        </w:rPr>
        <w:t>账</w:t>
      </w:r>
      <w:r>
        <w:t>户</w:t>
      </w:r>
      <w:r>
        <w:rPr>
          <w:spacing w:val="-3"/>
        </w:rPr>
        <w:t>存</w:t>
      </w:r>
      <w:r>
        <w:t>在</w:t>
      </w:r>
      <w:r>
        <w:rPr>
          <w:spacing w:val="-3"/>
        </w:rPr>
        <w:t>如</w:t>
      </w:r>
      <w:r>
        <w:t>下情</w:t>
      </w:r>
      <w:r>
        <w:rPr>
          <w:spacing w:val="-3"/>
        </w:rPr>
        <w:t>形</w:t>
      </w:r>
      <w:r>
        <w:t>之</w:t>
      </w:r>
      <w:r>
        <w:rPr>
          <w:spacing w:val="-3"/>
        </w:rPr>
        <w:t>一</w:t>
      </w:r>
      <w:r>
        <w:t>的</w:t>
      </w:r>
      <w:r>
        <w:rPr>
          <w:spacing w:val="-3"/>
        </w:rPr>
        <w:t>除</w:t>
      </w:r>
      <w:r>
        <w:t>外：</w:t>
      </w:r>
    </w:p>
    <w:p>
      <w:pPr>
        <w:pStyle w:val="8"/>
        <w:numPr>
          <w:ilvl w:val="0"/>
          <w:numId w:val="2"/>
        </w:numPr>
        <w:tabs>
          <w:tab w:val="left" w:pos="851"/>
        </w:tabs>
        <w:spacing w:before="43" w:after="0" w:line="240" w:lineRule="auto"/>
        <w:ind w:left="850" w:right="0" w:hanging="318"/>
        <w:jc w:val="left"/>
        <w:rPr>
          <w:sz w:val="21"/>
          <w:u w:val="none"/>
        </w:rPr>
      </w:pPr>
      <w:r>
        <w:rPr>
          <w:color w:val="333333"/>
          <w:sz w:val="21"/>
          <w:u w:val="none"/>
        </w:rPr>
        <w:t>A</w:t>
      </w:r>
      <w:r>
        <w:rPr>
          <w:color w:val="333333"/>
          <w:spacing w:val="-9"/>
          <w:sz w:val="21"/>
          <w:u w:val="none"/>
        </w:rPr>
        <w:t xml:space="preserve"> 股或港股通</w:t>
      </w:r>
      <w:r>
        <w:rPr>
          <w:rFonts w:hint="eastAsia"/>
          <w:color w:val="333333"/>
          <w:spacing w:val="-9"/>
          <w:sz w:val="21"/>
          <w:u w:val="none"/>
          <w:lang w:eastAsia="zh-CN"/>
        </w:rPr>
        <w:t>证券</w:t>
      </w:r>
      <w:r>
        <w:rPr>
          <w:color w:val="333333"/>
          <w:spacing w:val="-9"/>
          <w:sz w:val="21"/>
          <w:u w:val="none"/>
        </w:rPr>
        <w:t>当天有交易行为的；</w:t>
      </w:r>
    </w:p>
    <w:p>
      <w:pPr>
        <w:pStyle w:val="8"/>
        <w:numPr>
          <w:ilvl w:val="0"/>
          <w:numId w:val="2"/>
        </w:numPr>
        <w:tabs>
          <w:tab w:val="left" w:pos="851"/>
        </w:tabs>
        <w:spacing w:before="45" w:after="0" w:line="240" w:lineRule="auto"/>
        <w:ind w:left="850" w:right="0" w:hanging="318"/>
        <w:jc w:val="left"/>
        <w:rPr>
          <w:sz w:val="21"/>
          <w:u w:val="none"/>
        </w:rPr>
      </w:pPr>
      <w:r>
        <w:rPr>
          <w:color w:val="333333"/>
          <w:sz w:val="21"/>
          <w:u w:val="none"/>
        </w:rPr>
        <w:t>A</w:t>
      </w:r>
      <w:r>
        <w:rPr>
          <w:color w:val="333333"/>
          <w:spacing w:val="-9"/>
          <w:sz w:val="21"/>
          <w:u w:val="none"/>
        </w:rPr>
        <w:t xml:space="preserve"> 股或港股通</w:t>
      </w:r>
      <w:r>
        <w:rPr>
          <w:rFonts w:hint="eastAsia"/>
          <w:color w:val="333333"/>
          <w:spacing w:val="-9"/>
          <w:sz w:val="21"/>
          <w:u w:val="none"/>
          <w:lang w:eastAsia="zh-CN"/>
        </w:rPr>
        <w:t>证券</w:t>
      </w:r>
      <w:r>
        <w:rPr>
          <w:color w:val="333333"/>
          <w:spacing w:val="-9"/>
          <w:sz w:val="21"/>
          <w:u w:val="none"/>
        </w:rPr>
        <w:t>当日有申报；</w:t>
      </w:r>
    </w:p>
    <w:p>
      <w:pPr>
        <w:pStyle w:val="8"/>
        <w:numPr>
          <w:ilvl w:val="0"/>
          <w:numId w:val="2"/>
        </w:numPr>
        <w:tabs>
          <w:tab w:val="left" w:pos="851"/>
        </w:tabs>
        <w:spacing w:before="43" w:after="0" w:line="240" w:lineRule="auto"/>
        <w:ind w:left="850" w:right="0" w:hanging="318"/>
        <w:jc w:val="left"/>
        <w:rPr>
          <w:sz w:val="21"/>
          <w:u w:val="none"/>
        </w:rPr>
      </w:pPr>
      <w:r>
        <w:rPr>
          <w:color w:val="333333"/>
          <w:sz w:val="21"/>
          <w:u w:val="none"/>
        </w:rPr>
        <w:t>A</w:t>
      </w:r>
      <w:r>
        <w:rPr>
          <w:color w:val="333333"/>
          <w:spacing w:val="-8"/>
          <w:sz w:val="21"/>
          <w:u w:val="none"/>
        </w:rPr>
        <w:t xml:space="preserve"> 股申购未到期的；</w:t>
      </w:r>
    </w:p>
    <w:p>
      <w:pPr>
        <w:pStyle w:val="8"/>
        <w:numPr>
          <w:ilvl w:val="0"/>
          <w:numId w:val="2"/>
        </w:numPr>
        <w:tabs>
          <w:tab w:val="left" w:pos="851"/>
        </w:tabs>
        <w:spacing w:before="45" w:after="0" w:line="240" w:lineRule="auto"/>
        <w:ind w:left="850" w:right="0" w:hanging="318"/>
        <w:jc w:val="left"/>
        <w:rPr>
          <w:sz w:val="21"/>
          <w:u w:val="none"/>
        </w:rPr>
      </w:pPr>
      <w:r>
        <w:rPr>
          <w:color w:val="333333"/>
          <w:sz w:val="21"/>
          <w:u w:val="none"/>
        </w:rPr>
        <w:t>A</w:t>
      </w:r>
      <w:r>
        <w:rPr>
          <w:color w:val="333333"/>
          <w:spacing w:val="-9"/>
          <w:sz w:val="21"/>
          <w:u w:val="none"/>
        </w:rPr>
        <w:t xml:space="preserve"> 股因回购或其他事项未了结的；</w:t>
      </w:r>
    </w:p>
    <w:p>
      <w:pPr>
        <w:pStyle w:val="8"/>
        <w:numPr>
          <w:ilvl w:val="0"/>
          <w:numId w:val="2"/>
        </w:numPr>
        <w:tabs>
          <w:tab w:val="left" w:pos="851"/>
        </w:tabs>
        <w:spacing w:before="43" w:after="0" w:line="240" w:lineRule="auto"/>
        <w:ind w:left="850" w:right="0" w:hanging="318"/>
        <w:jc w:val="left"/>
        <w:rPr>
          <w:sz w:val="21"/>
          <w:u w:val="none"/>
        </w:rPr>
      </w:pPr>
      <w:r>
        <w:rPr>
          <w:color w:val="333333"/>
          <w:spacing w:val="-3"/>
          <w:sz w:val="21"/>
          <w:u w:val="none"/>
        </w:rPr>
        <w:t>港股通</w:t>
      </w:r>
      <w:r>
        <w:rPr>
          <w:rFonts w:hint="eastAsia"/>
          <w:color w:val="333333"/>
          <w:spacing w:val="-3"/>
          <w:sz w:val="21"/>
          <w:u w:val="none"/>
          <w:lang w:eastAsia="zh-CN"/>
        </w:rPr>
        <w:t>证券</w:t>
      </w:r>
      <w:r>
        <w:rPr>
          <w:color w:val="333333"/>
          <w:spacing w:val="-3"/>
          <w:sz w:val="21"/>
          <w:u w:val="none"/>
        </w:rPr>
        <w:t>存在未交收事项的；</w:t>
      </w:r>
    </w:p>
    <w:p>
      <w:pPr>
        <w:pStyle w:val="8"/>
        <w:numPr>
          <w:ilvl w:val="0"/>
          <w:numId w:val="2"/>
        </w:numPr>
        <w:tabs>
          <w:tab w:val="left" w:pos="903"/>
        </w:tabs>
        <w:spacing w:before="45" w:after="0" w:line="278" w:lineRule="auto"/>
        <w:ind w:left="113" w:right="329" w:firstLine="420"/>
        <w:jc w:val="left"/>
        <w:rPr>
          <w:sz w:val="21"/>
          <w:u w:val="none"/>
        </w:rPr>
      </w:pPr>
      <w:r>
        <w:rPr>
          <w:color w:val="333333"/>
          <w:spacing w:val="-3"/>
          <w:sz w:val="21"/>
          <w:u w:val="none"/>
        </w:rPr>
        <w:t>相关法律法规、证券登记结算机构业务规则和证</w:t>
      </w:r>
      <w:r>
        <w:rPr>
          <w:spacing w:val="-3"/>
          <w:sz w:val="21"/>
          <w:u w:val="none"/>
        </w:rPr>
        <w:t>券交易所交易规则规定的或甲乙双方约定的其他情形的。</w:t>
      </w:r>
    </w:p>
    <w:p>
      <w:pPr>
        <w:pStyle w:val="3"/>
        <w:tabs>
          <w:tab w:val="left" w:pos="1802"/>
        </w:tabs>
        <w:spacing w:before="3" w:line="278" w:lineRule="auto"/>
      </w:pPr>
      <w:r>
        <w:rPr>
          <w:b/>
        </w:rPr>
        <w:t>第</w:t>
      </w:r>
      <w:r>
        <w:rPr>
          <w:rFonts w:hint="eastAsia"/>
          <w:b/>
          <w:lang w:val="en-US" w:eastAsia="zh-CN"/>
        </w:rPr>
        <w:t>五十四</w:t>
      </w:r>
      <w:r>
        <w:rPr>
          <w:b/>
        </w:rPr>
        <w:t>条</w:t>
      </w:r>
      <w:r>
        <w:rPr>
          <w:b/>
        </w:rPr>
        <w:tab/>
      </w:r>
      <w:r>
        <w:rPr>
          <w:spacing w:val="-3"/>
        </w:rPr>
        <w:t>甲</w:t>
      </w:r>
      <w:r>
        <w:t>乙</w:t>
      </w:r>
      <w:r>
        <w:rPr>
          <w:spacing w:val="-3"/>
        </w:rPr>
        <w:t>双</w:t>
      </w:r>
      <w:r>
        <w:t>方</w:t>
      </w:r>
      <w:r>
        <w:rPr>
          <w:spacing w:val="-3"/>
        </w:rPr>
        <w:t>签</w:t>
      </w:r>
      <w:r>
        <w:t>署</w:t>
      </w:r>
      <w:r>
        <w:rPr>
          <w:spacing w:val="-20"/>
        </w:rPr>
        <w:t>的</w:t>
      </w:r>
      <w:r>
        <w:t>《</w:t>
      </w:r>
      <w:r>
        <w:rPr>
          <w:spacing w:val="-3"/>
        </w:rPr>
        <w:t>客</w:t>
      </w:r>
      <w:r>
        <w:t>户</w:t>
      </w:r>
      <w:r>
        <w:rPr>
          <w:spacing w:val="-3"/>
        </w:rPr>
        <w:t>账</w:t>
      </w:r>
      <w:r>
        <w:t>户</w:t>
      </w:r>
      <w:r>
        <w:rPr>
          <w:spacing w:val="-3"/>
        </w:rPr>
        <w:t>开</w:t>
      </w:r>
      <w:r>
        <w:t>户</w:t>
      </w:r>
      <w:r>
        <w:rPr>
          <w:spacing w:val="-3"/>
        </w:rPr>
        <w:t>协议</w:t>
      </w:r>
      <w:r>
        <w:rPr>
          <w:spacing w:val="-17"/>
        </w:rPr>
        <w:t>》</w:t>
      </w:r>
      <w:r>
        <w:rPr>
          <w:spacing w:val="-3"/>
        </w:rPr>
        <w:t>终</w:t>
      </w:r>
      <w:r>
        <w:t>止</w:t>
      </w:r>
      <w:r>
        <w:rPr>
          <w:spacing w:val="-3"/>
        </w:rPr>
        <w:t>或</w:t>
      </w:r>
      <w:r>
        <w:t>依</w:t>
      </w:r>
      <w:r>
        <w:rPr>
          <w:spacing w:val="-3"/>
        </w:rPr>
        <w:t>照</w:t>
      </w:r>
      <w:r>
        <w:t>相</w:t>
      </w:r>
      <w:r>
        <w:rPr>
          <w:spacing w:val="-3"/>
        </w:rPr>
        <w:t>关</w:t>
      </w:r>
      <w:r>
        <w:t>约</w:t>
      </w:r>
      <w:r>
        <w:rPr>
          <w:spacing w:val="-3"/>
        </w:rPr>
        <w:t>定或</w:t>
      </w:r>
      <w:r>
        <w:t>相关</w:t>
      </w:r>
      <w:r>
        <w:rPr>
          <w:spacing w:val="-3"/>
        </w:rPr>
        <w:t>法</w:t>
      </w:r>
      <w:r>
        <w:t>律</w:t>
      </w:r>
      <w:r>
        <w:rPr>
          <w:spacing w:val="-3"/>
        </w:rPr>
        <w:t>法</w:t>
      </w:r>
      <w:r>
        <w:t>规</w:t>
      </w:r>
      <w:r>
        <w:rPr>
          <w:spacing w:val="-3"/>
        </w:rPr>
        <w:t>的</w:t>
      </w:r>
      <w:r>
        <w:t>规</w:t>
      </w:r>
      <w:r>
        <w:rPr>
          <w:spacing w:val="-3"/>
        </w:rPr>
        <w:t>定</w:t>
      </w:r>
      <w:r>
        <w:t>提前解除</w:t>
      </w:r>
      <w:r>
        <w:rPr>
          <w:spacing w:val="-3"/>
        </w:rPr>
        <w:t>时</w:t>
      </w:r>
      <w:r>
        <w:t>，</w:t>
      </w:r>
      <w:r>
        <w:rPr>
          <w:spacing w:val="-3"/>
        </w:rPr>
        <w:t>本</w:t>
      </w:r>
      <w:r>
        <w:t>协</w:t>
      </w:r>
      <w:r>
        <w:rPr>
          <w:spacing w:val="-3"/>
        </w:rPr>
        <w:t>议</w:t>
      </w:r>
      <w:r>
        <w:t>自</w:t>
      </w:r>
      <w:r>
        <w:rPr>
          <w:spacing w:val="-3"/>
        </w:rPr>
        <w:t>动</w:t>
      </w:r>
      <w:r>
        <w:t>终</w:t>
      </w:r>
      <w:r>
        <w:rPr>
          <w:spacing w:val="-3"/>
        </w:rPr>
        <w:t>止</w:t>
      </w:r>
      <w:r>
        <w:t>。</w:t>
      </w:r>
    </w:p>
    <w:p>
      <w:pPr>
        <w:pStyle w:val="3"/>
        <w:tabs>
          <w:tab w:val="left" w:pos="1802"/>
        </w:tabs>
        <w:spacing w:before="3" w:line="278" w:lineRule="auto"/>
      </w:pPr>
    </w:p>
    <w:p>
      <w:pPr>
        <w:pStyle w:val="2"/>
        <w:spacing w:before="2"/>
        <w:ind w:left="4085"/>
        <w:jc w:val="both"/>
      </w:pPr>
      <w:r>
        <w:t>第</w:t>
      </w:r>
      <w:r>
        <w:rPr>
          <w:rFonts w:hint="eastAsia"/>
          <w:lang w:val="en-US" w:eastAsia="zh-CN"/>
        </w:rPr>
        <w:t>八</w:t>
      </w:r>
      <w:r>
        <w:t>章 争议解决</w:t>
      </w:r>
    </w:p>
    <w:p>
      <w:pPr>
        <w:pStyle w:val="3"/>
        <w:spacing w:before="43" w:line="280" w:lineRule="auto"/>
        <w:jc w:val="both"/>
      </w:pPr>
      <w:r>
        <w:rPr>
          <w:b/>
          <w:spacing w:val="10"/>
        </w:rPr>
        <w:t>第五十</w:t>
      </w:r>
      <w:r>
        <w:rPr>
          <w:rFonts w:hint="eastAsia"/>
          <w:b/>
          <w:spacing w:val="10"/>
          <w:lang w:val="en-US" w:eastAsia="zh-CN"/>
        </w:rPr>
        <w:t>五</w:t>
      </w:r>
      <w:r>
        <w:rPr>
          <w:b/>
          <w:spacing w:val="10"/>
        </w:rPr>
        <w:t xml:space="preserve">条 </w:t>
      </w:r>
      <w:r>
        <w:rPr>
          <w:spacing w:val="-5"/>
          <w:u w:val="single"/>
        </w:rPr>
        <w:t>如出现涉及甲方财产继承或财产归属的事宜或纠纷，</w:t>
      </w:r>
      <w:r>
        <w:rPr>
          <w:rFonts w:hint="eastAsia"/>
          <w:spacing w:val="-5"/>
          <w:u w:val="single"/>
        </w:rPr>
        <w:t>乙方依据中国结算发布的相关业务规则办理</w:t>
      </w:r>
      <w:r>
        <w:rPr>
          <w:color w:val="333333"/>
          <w:spacing w:val="-2"/>
          <w:u w:val="single" w:color="000000"/>
        </w:rPr>
        <w:t>。</w:t>
      </w:r>
    </w:p>
    <w:p>
      <w:pPr>
        <w:pStyle w:val="3"/>
        <w:spacing w:line="278" w:lineRule="auto"/>
        <w:jc w:val="both"/>
        <w:rPr>
          <w:spacing w:val="-2"/>
          <w:u w:val="single"/>
        </w:rPr>
      </w:pPr>
      <w:r>
        <w:rPr>
          <w:b/>
          <w:spacing w:val="8"/>
        </w:rPr>
        <w:t>第五十</w:t>
      </w:r>
      <w:r>
        <w:rPr>
          <w:rFonts w:hint="eastAsia"/>
          <w:b/>
          <w:spacing w:val="8"/>
          <w:lang w:val="en-US" w:eastAsia="zh-CN"/>
        </w:rPr>
        <w:t>六</w:t>
      </w:r>
      <w:r>
        <w:rPr>
          <w:b/>
          <w:spacing w:val="8"/>
        </w:rPr>
        <w:t xml:space="preserve">条 </w:t>
      </w:r>
      <w:r>
        <w:rPr>
          <w:spacing w:val="-5"/>
          <w:u w:val="single"/>
        </w:rPr>
        <w:t>本协议受中华人民共和国法律管辖并依其解释。本协议执行中发生的纠纷，</w:t>
      </w:r>
      <w:r>
        <w:rPr>
          <w:rFonts w:hint="eastAsia"/>
          <w:spacing w:val="-5"/>
          <w:u w:val="single"/>
        </w:rPr>
        <w:t>甲乙双方可以自行协商解决或向中国证券业协会申请调解</w:t>
      </w:r>
      <w:r>
        <w:rPr>
          <w:spacing w:val="-5"/>
          <w:u w:val="single"/>
        </w:rPr>
        <w:t>，或者双方同意提交深圳国际仲裁院</w:t>
      </w:r>
      <w:r>
        <w:rPr>
          <w:u w:val="single"/>
        </w:rPr>
        <w:t>（</w:t>
      </w:r>
      <w:r>
        <w:rPr>
          <w:spacing w:val="-3"/>
          <w:u w:val="single"/>
        </w:rPr>
        <w:t>深圳仲裁委员会</w:t>
      </w:r>
      <w:r>
        <w:rPr>
          <w:spacing w:val="-13"/>
          <w:u w:val="single"/>
        </w:rPr>
        <w:t>）</w:t>
      </w:r>
      <w:r>
        <w:rPr>
          <w:u w:val="single"/>
        </w:rPr>
        <w:t>仲裁解</w:t>
      </w:r>
      <w:r>
        <w:rPr>
          <w:spacing w:val="-2"/>
          <w:u w:val="single"/>
        </w:rPr>
        <w:t>决。</w:t>
      </w:r>
    </w:p>
    <w:p>
      <w:pPr>
        <w:pStyle w:val="3"/>
        <w:spacing w:line="278" w:lineRule="auto"/>
        <w:jc w:val="both"/>
        <w:rPr>
          <w:spacing w:val="-2"/>
          <w:u w:val="single"/>
        </w:rPr>
      </w:pPr>
    </w:p>
    <w:p>
      <w:pPr>
        <w:pStyle w:val="2"/>
        <w:tabs>
          <w:tab w:val="left" w:pos="5142"/>
        </w:tabs>
        <w:spacing w:before="1"/>
        <w:ind w:left="4297"/>
      </w:pPr>
      <w:r>
        <w:t>第</w:t>
      </w:r>
      <w:r>
        <w:rPr>
          <w:rFonts w:hint="eastAsia"/>
          <w:lang w:val="en-US" w:eastAsia="zh-CN"/>
        </w:rPr>
        <w:t>九</w:t>
      </w:r>
      <w:r>
        <w:t>章</w:t>
      </w:r>
      <w:r>
        <w:tab/>
      </w:r>
      <w:r>
        <w:t>附则</w:t>
      </w:r>
    </w:p>
    <w:p>
      <w:pPr>
        <w:pStyle w:val="3"/>
        <w:tabs>
          <w:tab w:val="left" w:pos="1905"/>
        </w:tabs>
        <w:spacing w:before="43" w:line="280" w:lineRule="auto"/>
        <w:ind w:right="328"/>
      </w:pPr>
      <w:r>
        <w:rPr>
          <w:b/>
        </w:rPr>
        <w:t>第五十</w:t>
      </w:r>
      <w:r>
        <w:rPr>
          <w:rFonts w:hint="eastAsia"/>
          <w:b/>
          <w:lang w:val="en-US" w:eastAsia="zh-CN"/>
        </w:rPr>
        <w:t>七</w:t>
      </w:r>
      <w:r>
        <w:rPr>
          <w:b/>
        </w:rPr>
        <w:t>条</w:t>
      </w:r>
      <w:r>
        <w:rPr>
          <w:b/>
        </w:rPr>
        <w:tab/>
      </w:r>
      <w:r>
        <w:t>本</w:t>
      </w:r>
      <w:r>
        <w:rPr>
          <w:spacing w:val="-3"/>
        </w:rPr>
        <w:t>协</w:t>
      </w:r>
      <w:r>
        <w:t>议</w:t>
      </w:r>
      <w:r>
        <w:rPr>
          <w:spacing w:val="-3"/>
        </w:rPr>
        <w:t>所涉</w:t>
      </w:r>
      <w:r>
        <w:t>及名</w:t>
      </w:r>
      <w:r>
        <w:rPr>
          <w:spacing w:val="-3"/>
        </w:rPr>
        <w:t>词</w:t>
      </w:r>
      <w:r>
        <w:rPr>
          <w:spacing w:val="-48"/>
        </w:rPr>
        <w:t>、</w:t>
      </w:r>
      <w:r>
        <w:t>术</w:t>
      </w:r>
      <w:r>
        <w:rPr>
          <w:spacing w:val="-3"/>
        </w:rPr>
        <w:t>语</w:t>
      </w:r>
      <w:r>
        <w:t>的</w:t>
      </w:r>
      <w:r>
        <w:rPr>
          <w:spacing w:val="-3"/>
        </w:rPr>
        <w:t>解释</w:t>
      </w:r>
      <w:r>
        <w:rPr>
          <w:spacing w:val="-46"/>
        </w:rPr>
        <w:t>，</w:t>
      </w:r>
      <w:r>
        <w:rPr>
          <w:spacing w:val="-3"/>
        </w:rPr>
        <w:t>以法</w:t>
      </w:r>
      <w:r>
        <w:t>律法</w:t>
      </w:r>
      <w:r>
        <w:rPr>
          <w:spacing w:val="-3"/>
        </w:rPr>
        <w:t>规</w:t>
      </w:r>
      <w:r>
        <w:t>的</w:t>
      </w:r>
      <w:r>
        <w:rPr>
          <w:spacing w:val="-3"/>
        </w:rPr>
        <w:t>规</w:t>
      </w:r>
      <w:r>
        <w:t>定</w:t>
      </w:r>
      <w:r>
        <w:rPr>
          <w:spacing w:val="-3"/>
        </w:rPr>
        <w:t>为准</w:t>
      </w:r>
      <w:r>
        <w:rPr>
          <w:spacing w:val="-46"/>
        </w:rPr>
        <w:t>；</w:t>
      </w:r>
      <w:r>
        <w:rPr>
          <w:spacing w:val="-3"/>
        </w:rPr>
        <w:t>法律</w:t>
      </w:r>
      <w:r>
        <w:t>法规</w:t>
      </w:r>
      <w:r>
        <w:rPr>
          <w:spacing w:val="-3"/>
        </w:rPr>
        <w:t>对</w:t>
      </w:r>
      <w:r>
        <w:t>此</w:t>
      </w:r>
      <w:r>
        <w:rPr>
          <w:spacing w:val="-3"/>
        </w:rPr>
        <w:t>没</w:t>
      </w:r>
      <w:r>
        <w:t>有</w:t>
      </w:r>
      <w:r>
        <w:rPr>
          <w:spacing w:val="-3"/>
        </w:rPr>
        <w:t>解</w:t>
      </w:r>
      <w:r>
        <w:t>释</w:t>
      </w:r>
      <w:r>
        <w:rPr>
          <w:spacing w:val="-3"/>
        </w:rPr>
        <w:t>的</w:t>
      </w:r>
      <w:r>
        <w:t>，适用</w:t>
      </w:r>
      <w:r>
        <w:rPr>
          <w:spacing w:val="-3"/>
        </w:rPr>
        <w:t>证</w:t>
      </w:r>
      <w:r>
        <w:t>券</w:t>
      </w:r>
      <w:r>
        <w:rPr>
          <w:spacing w:val="-3"/>
        </w:rPr>
        <w:t>监</w:t>
      </w:r>
      <w:r>
        <w:t>督</w:t>
      </w:r>
      <w:r>
        <w:rPr>
          <w:spacing w:val="-3"/>
        </w:rPr>
        <w:t>管</w:t>
      </w:r>
      <w:r>
        <w:t>理</w:t>
      </w:r>
      <w:r>
        <w:rPr>
          <w:spacing w:val="-3"/>
        </w:rPr>
        <w:t>机</w:t>
      </w:r>
      <w:r>
        <w:t>关</w:t>
      </w:r>
      <w:r>
        <w:rPr>
          <w:spacing w:val="-3"/>
        </w:rPr>
        <w:t>规</w:t>
      </w:r>
      <w:r>
        <w:t>范性</w:t>
      </w:r>
      <w:r>
        <w:rPr>
          <w:spacing w:val="-3"/>
        </w:rPr>
        <w:t>文</w:t>
      </w:r>
      <w:r>
        <w:t>件</w:t>
      </w:r>
      <w:r>
        <w:rPr>
          <w:spacing w:val="-3"/>
        </w:rPr>
        <w:t>、</w:t>
      </w:r>
      <w:r>
        <w:t>证</w:t>
      </w:r>
      <w:r>
        <w:rPr>
          <w:spacing w:val="-3"/>
        </w:rPr>
        <w:t>券</w:t>
      </w:r>
      <w:r>
        <w:t>交</w:t>
      </w:r>
      <w:r>
        <w:rPr>
          <w:spacing w:val="-3"/>
        </w:rPr>
        <w:t>易</w:t>
      </w:r>
      <w:r>
        <w:t>所</w:t>
      </w:r>
      <w:r>
        <w:rPr>
          <w:spacing w:val="-3"/>
        </w:rPr>
        <w:t>和</w:t>
      </w:r>
      <w:r>
        <w:t>证券</w:t>
      </w:r>
      <w:r>
        <w:rPr>
          <w:spacing w:val="-3"/>
        </w:rPr>
        <w:t>登</w:t>
      </w:r>
      <w:r>
        <w:t>记</w:t>
      </w:r>
      <w:r>
        <w:rPr>
          <w:spacing w:val="-3"/>
        </w:rPr>
        <w:t>结</w:t>
      </w:r>
      <w:r>
        <w:t>算</w:t>
      </w:r>
      <w:r>
        <w:rPr>
          <w:spacing w:val="-3"/>
        </w:rPr>
        <w:t>机</w:t>
      </w:r>
      <w:r>
        <w:t>构</w:t>
      </w:r>
      <w:r>
        <w:rPr>
          <w:spacing w:val="-3"/>
        </w:rPr>
        <w:t>有</w:t>
      </w:r>
      <w:r>
        <w:t>关</w:t>
      </w:r>
      <w:r>
        <w:rPr>
          <w:spacing w:val="-3"/>
        </w:rPr>
        <w:t>规</w:t>
      </w:r>
      <w:r>
        <w:t>则及</w:t>
      </w:r>
      <w:r>
        <w:rPr>
          <w:spacing w:val="-3"/>
        </w:rPr>
        <w:t>行</w:t>
      </w:r>
      <w:r>
        <w:t>业</w:t>
      </w:r>
      <w:r>
        <w:rPr>
          <w:spacing w:val="-3"/>
        </w:rPr>
        <w:t>规</w:t>
      </w:r>
      <w:r>
        <w:t>章。</w:t>
      </w:r>
    </w:p>
    <w:p>
      <w:pPr>
        <w:pStyle w:val="3"/>
        <w:tabs>
          <w:tab w:val="left" w:pos="1800"/>
        </w:tabs>
        <w:spacing w:line="280" w:lineRule="auto"/>
      </w:pPr>
      <w:r>
        <w:rPr>
          <w:b/>
        </w:rPr>
        <w:t>第五十</w:t>
      </w:r>
      <w:r>
        <w:rPr>
          <w:rFonts w:hint="eastAsia"/>
          <w:b/>
          <w:lang w:val="en-US" w:eastAsia="zh-CN"/>
        </w:rPr>
        <w:t>八</w:t>
      </w:r>
      <w:r>
        <w:rPr>
          <w:b/>
        </w:rPr>
        <w:t>条</w:t>
      </w:r>
      <w:r>
        <w:rPr>
          <w:b/>
        </w:rPr>
        <w:tab/>
      </w:r>
      <w:r>
        <w:t>甲</w:t>
      </w:r>
      <w:r>
        <w:rPr>
          <w:spacing w:val="-3"/>
        </w:rPr>
        <w:t>乙</w:t>
      </w:r>
      <w:r>
        <w:t>双</w:t>
      </w:r>
      <w:r>
        <w:rPr>
          <w:spacing w:val="-3"/>
        </w:rPr>
        <w:t>方于</w:t>
      </w:r>
      <w:r>
        <w:t>本协</w:t>
      </w:r>
      <w:r>
        <w:rPr>
          <w:spacing w:val="-3"/>
        </w:rPr>
        <w:t>议</w:t>
      </w:r>
      <w:r>
        <w:t>生</w:t>
      </w:r>
      <w:r>
        <w:rPr>
          <w:spacing w:val="-3"/>
        </w:rPr>
        <w:t>效</w:t>
      </w:r>
      <w:r>
        <w:t>前</w:t>
      </w:r>
      <w:r>
        <w:rPr>
          <w:spacing w:val="-3"/>
        </w:rPr>
        <w:t>所</w:t>
      </w:r>
      <w:r>
        <w:t>作</w:t>
      </w:r>
      <w:r>
        <w:rPr>
          <w:spacing w:val="-3"/>
        </w:rPr>
        <w:t>的</w:t>
      </w:r>
      <w:r>
        <w:t>宣</w:t>
      </w:r>
      <w:r>
        <w:rPr>
          <w:spacing w:val="-3"/>
        </w:rPr>
        <w:t>传</w:t>
      </w:r>
      <w:r>
        <w:rPr>
          <w:spacing w:val="-48"/>
        </w:rPr>
        <w:t>、</w:t>
      </w:r>
      <w:r>
        <w:rPr>
          <w:spacing w:val="-3"/>
        </w:rPr>
        <w:t>广告</w:t>
      </w:r>
      <w:r>
        <w:rPr>
          <w:spacing w:val="-48"/>
        </w:rPr>
        <w:t>、</w:t>
      </w:r>
      <w:r>
        <w:rPr>
          <w:spacing w:val="-3"/>
        </w:rPr>
        <w:t>说</w:t>
      </w:r>
      <w:r>
        <w:t>明</w:t>
      </w:r>
      <w:r>
        <w:rPr>
          <w:spacing w:val="-51"/>
        </w:rPr>
        <w:t>、</w:t>
      </w:r>
      <w:r>
        <w:t>承</w:t>
      </w:r>
      <w:r>
        <w:rPr>
          <w:spacing w:val="-3"/>
        </w:rPr>
        <w:t>诺</w:t>
      </w:r>
      <w:r>
        <w:rPr>
          <w:spacing w:val="-51"/>
        </w:rPr>
        <w:t>、</w:t>
      </w:r>
      <w:r>
        <w:t>证</w:t>
      </w:r>
      <w:r>
        <w:rPr>
          <w:spacing w:val="-3"/>
        </w:rPr>
        <w:t>明</w:t>
      </w:r>
      <w:r>
        <w:rPr>
          <w:spacing w:val="-48"/>
        </w:rPr>
        <w:t>、</w:t>
      </w:r>
      <w:r>
        <w:rPr>
          <w:spacing w:val="-3"/>
        </w:rPr>
        <w:t>意</w:t>
      </w:r>
      <w:r>
        <w:t>向</w:t>
      </w:r>
      <w:r>
        <w:rPr>
          <w:spacing w:val="-3"/>
        </w:rPr>
        <w:t>或</w:t>
      </w:r>
      <w:r>
        <w:t>其</w:t>
      </w:r>
      <w:r>
        <w:rPr>
          <w:spacing w:val="-3"/>
        </w:rPr>
        <w:t>它</w:t>
      </w:r>
      <w:r>
        <w:t>交</w:t>
      </w:r>
      <w:r>
        <w:rPr>
          <w:spacing w:val="-3"/>
        </w:rPr>
        <w:t>易</w:t>
      </w:r>
      <w:r>
        <w:t>条</w:t>
      </w:r>
      <w:r>
        <w:rPr>
          <w:spacing w:val="-3"/>
        </w:rPr>
        <w:t>件</w:t>
      </w:r>
      <w:r>
        <w:t>，无论</w:t>
      </w:r>
      <w:r>
        <w:rPr>
          <w:spacing w:val="-3"/>
        </w:rPr>
        <w:t>是</w:t>
      </w:r>
      <w:r>
        <w:t>否</w:t>
      </w:r>
      <w:r>
        <w:rPr>
          <w:spacing w:val="-3"/>
        </w:rPr>
        <w:t>已</w:t>
      </w:r>
      <w:r>
        <w:t>经</w:t>
      </w:r>
      <w:r>
        <w:rPr>
          <w:spacing w:val="-3"/>
        </w:rPr>
        <w:t>协</w:t>
      </w:r>
      <w:r>
        <w:t>议</w:t>
      </w:r>
      <w:r>
        <w:rPr>
          <w:spacing w:val="-3"/>
        </w:rPr>
        <w:t>各</w:t>
      </w:r>
      <w:r>
        <w:t>方</w:t>
      </w:r>
      <w:r>
        <w:rPr>
          <w:spacing w:val="-3"/>
        </w:rPr>
        <w:t>口</w:t>
      </w:r>
      <w:r>
        <w:t>头或</w:t>
      </w:r>
      <w:r>
        <w:rPr>
          <w:spacing w:val="-3"/>
        </w:rPr>
        <w:t>书</w:t>
      </w:r>
      <w:r>
        <w:t>面</w:t>
      </w:r>
      <w:r>
        <w:rPr>
          <w:spacing w:val="-3"/>
        </w:rPr>
        <w:t>确</w:t>
      </w:r>
      <w:r>
        <w:t>认</w:t>
      </w:r>
      <w:r>
        <w:rPr>
          <w:spacing w:val="-3"/>
        </w:rPr>
        <w:t>，</w:t>
      </w:r>
      <w:r>
        <w:t>均</w:t>
      </w:r>
      <w:r>
        <w:rPr>
          <w:spacing w:val="-3"/>
        </w:rPr>
        <w:t>以</w:t>
      </w:r>
      <w:r>
        <w:t>本</w:t>
      </w:r>
      <w:r>
        <w:rPr>
          <w:spacing w:val="-3"/>
        </w:rPr>
        <w:t>协</w:t>
      </w:r>
      <w:r>
        <w:t>议相</w:t>
      </w:r>
      <w:r>
        <w:rPr>
          <w:spacing w:val="-3"/>
        </w:rPr>
        <w:t>关</w:t>
      </w:r>
      <w:r>
        <w:t>条</w:t>
      </w:r>
      <w:r>
        <w:rPr>
          <w:spacing w:val="-3"/>
        </w:rPr>
        <w:t>款</w:t>
      </w:r>
      <w:r>
        <w:t>为</w:t>
      </w:r>
      <w:r>
        <w:rPr>
          <w:spacing w:val="-3"/>
        </w:rPr>
        <w:t>准</w:t>
      </w:r>
      <w:r>
        <w:t>。</w:t>
      </w:r>
    </w:p>
    <w:p>
      <w:pPr>
        <w:tabs>
          <w:tab w:val="left" w:pos="1812"/>
        </w:tabs>
        <w:spacing w:before="0" w:line="319" w:lineRule="auto"/>
        <w:ind w:left="535" w:right="224" w:firstLine="0"/>
        <w:jc w:val="left"/>
        <w:rPr>
          <w:b/>
          <w:sz w:val="21"/>
        </w:rPr>
      </w:pPr>
      <w:r>
        <w:rPr>
          <w:b/>
          <w:sz w:val="21"/>
        </w:rPr>
        <w:t>第五十</w:t>
      </w:r>
      <w:r>
        <w:rPr>
          <w:rFonts w:hint="eastAsia"/>
          <w:b/>
          <w:sz w:val="21"/>
          <w:lang w:val="en-US" w:eastAsia="zh-CN"/>
        </w:rPr>
        <w:t>九</w:t>
      </w:r>
      <w:r>
        <w:rPr>
          <w:b/>
          <w:sz w:val="21"/>
        </w:rPr>
        <w:t>条</w:t>
      </w:r>
      <w:r>
        <w:rPr>
          <w:b/>
          <w:sz w:val="21"/>
        </w:rPr>
        <w:tab/>
      </w:r>
      <w:r>
        <w:rPr>
          <w:sz w:val="21"/>
        </w:rPr>
        <w:t>《深市港股通业务客户风险揭示书》为本协议不可分割的部分，要与本协议同时签署</w:t>
      </w:r>
      <w:r>
        <w:rPr>
          <w:spacing w:val="-17"/>
          <w:sz w:val="21"/>
        </w:rPr>
        <w:t>。</w:t>
      </w:r>
      <w:r>
        <w:rPr>
          <w:b/>
          <w:sz w:val="21"/>
        </w:rPr>
        <w:t>乙方确认已向甲方</w:t>
      </w:r>
      <w:r>
        <w:rPr>
          <w:b/>
          <w:spacing w:val="-3"/>
          <w:sz w:val="21"/>
        </w:rPr>
        <w:t>说</w:t>
      </w:r>
      <w:r>
        <w:rPr>
          <w:b/>
          <w:sz w:val="21"/>
        </w:rPr>
        <w:t>明</w:t>
      </w:r>
      <w:r>
        <w:rPr>
          <w:b/>
          <w:spacing w:val="-3"/>
          <w:sz w:val="21"/>
        </w:rPr>
        <w:t>港</w:t>
      </w:r>
      <w:r>
        <w:rPr>
          <w:b/>
          <w:sz w:val="21"/>
        </w:rPr>
        <w:t>股通交易的风险</w:t>
      </w:r>
      <w:r>
        <w:rPr>
          <w:b/>
          <w:spacing w:val="-87"/>
          <w:sz w:val="21"/>
        </w:rPr>
        <w:t>，</w:t>
      </w:r>
      <w:r>
        <w:rPr>
          <w:b/>
          <w:sz w:val="21"/>
        </w:rPr>
        <w:t>不保</w:t>
      </w:r>
      <w:r>
        <w:rPr>
          <w:b/>
          <w:spacing w:val="-3"/>
          <w:sz w:val="21"/>
        </w:rPr>
        <w:t>证甲</w:t>
      </w:r>
      <w:r>
        <w:rPr>
          <w:b/>
          <w:sz w:val="21"/>
        </w:rPr>
        <w:t>方获得投资收益或</w:t>
      </w:r>
      <w:r>
        <w:rPr>
          <w:b/>
          <w:spacing w:val="-3"/>
          <w:sz w:val="21"/>
        </w:rPr>
        <w:t>承</w:t>
      </w:r>
      <w:r>
        <w:rPr>
          <w:b/>
          <w:sz w:val="21"/>
        </w:rPr>
        <w:t>担</w:t>
      </w:r>
      <w:r>
        <w:rPr>
          <w:b/>
          <w:spacing w:val="-3"/>
          <w:sz w:val="21"/>
        </w:rPr>
        <w:t>甲</w:t>
      </w:r>
      <w:r>
        <w:rPr>
          <w:b/>
          <w:sz w:val="21"/>
        </w:rPr>
        <w:t>方投资损失</w:t>
      </w:r>
      <w:r>
        <w:rPr>
          <w:b/>
          <w:spacing w:val="-87"/>
          <w:sz w:val="21"/>
        </w:rPr>
        <w:t>；</w:t>
      </w:r>
      <w:r>
        <w:rPr>
          <w:b/>
          <w:sz w:val="21"/>
        </w:rPr>
        <w:t>甲方确认</w:t>
      </w:r>
      <w:r>
        <w:rPr>
          <w:b/>
          <w:spacing w:val="-12"/>
          <w:sz w:val="21"/>
        </w:rPr>
        <w:t>，</w:t>
      </w:r>
    </w:p>
    <w:p>
      <w:pPr>
        <w:pStyle w:val="2"/>
        <w:spacing w:line="321" w:lineRule="auto"/>
        <w:ind w:right="332"/>
        <w:rPr>
          <w:b w:val="0"/>
        </w:rPr>
      </w:pPr>
      <w:r>
        <w:rPr>
          <w:spacing w:val="-7"/>
        </w:rPr>
        <w:t>已经认真阅读并全面接受本协议全部条款，已充分知悉、理解本协议项下的权利、义务和责任，自愿参与</w:t>
      </w:r>
      <w:r>
        <w:rPr>
          <w:spacing w:val="-3"/>
        </w:rPr>
        <w:t>港股通交易并自行承担由此产生的风险和法律后果</w:t>
      </w:r>
      <w:r>
        <w:rPr>
          <w:b w:val="0"/>
        </w:rPr>
        <w:t>。</w:t>
      </w:r>
    </w:p>
    <w:p>
      <w:pPr>
        <w:pStyle w:val="3"/>
        <w:spacing w:before="4"/>
        <w:ind w:left="0" w:right="0" w:firstLine="0"/>
        <w:rPr>
          <w:sz w:val="27"/>
        </w:rPr>
      </w:pPr>
    </w:p>
    <w:p>
      <w:pPr>
        <w:pStyle w:val="3"/>
        <w:spacing w:before="1"/>
        <w:ind w:left="0" w:right="612" w:firstLine="0"/>
        <w:jc w:val="right"/>
      </w:pPr>
      <w:r>
        <w:rPr>
          <w:spacing w:val="-1"/>
        </w:rPr>
        <w:t>乙方</w:t>
      </w:r>
      <w:r>
        <w:rPr>
          <w:spacing w:val="-3"/>
        </w:rPr>
        <w:t>（</w:t>
      </w:r>
      <w:r>
        <w:rPr>
          <w:spacing w:val="-2"/>
        </w:rPr>
        <w:t>盖章</w:t>
      </w:r>
      <w:r>
        <w:t>）</w:t>
      </w:r>
      <w:r>
        <w:rPr>
          <w:spacing w:val="-3"/>
        </w:rPr>
        <w:t>：广发证券股份有限公司</w:t>
      </w:r>
    </w:p>
    <w:p>
      <w:pPr>
        <w:pStyle w:val="3"/>
        <w:tabs>
          <w:tab w:val="left" w:pos="5777"/>
          <w:tab w:val="left" w:pos="8300"/>
        </w:tabs>
        <w:spacing w:before="88"/>
        <w:ind w:left="0" w:right="611" w:firstLine="0"/>
        <w:jc w:val="right"/>
      </w:pPr>
      <w:r>
        <w:t>客户</w:t>
      </w:r>
      <w:r>
        <w:rPr>
          <w:spacing w:val="-3"/>
        </w:rPr>
        <w:t>（</w:t>
      </w:r>
      <w:r>
        <w:t>签</w:t>
      </w:r>
      <w:r>
        <w:rPr>
          <w:spacing w:val="-3"/>
        </w:rPr>
        <w:t>字</w:t>
      </w:r>
      <w:r>
        <w:t>或</w:t>
      </w:r>
      <w:r>
        <w:rPr>
          <w:spacing w:val="-3"/>
        </w:rPr>
        <w:t>盖</w:t>
      </w:r>
      <w:r>
        <w:t>章）：</w:t>
      </w:r>
      <w:r>
        <w:tab/>
      </w:r>
      <w:r>
        <w:rPr>
          <w:u w:val="single"/>
        </w:rPr>
        <w:t xml:space="preserve"> </w:t>
      </w:r>
      <w:r>
        <w:rPr>
          <w:u w:val="single"/>
        </w:rPr>
        <w:tab/>
      </w:r>
      <w:r>
        <w:t>证</w:t>
      </w:r>
      <w:r>
        <w:rPr>
          <w:spacing w:val="-3"/>
        </w:rPr>
        <w:t>券</w:t>
      </w:r>
      <w:r>
        <w:t>营</w:t>
      </w:r>
      <w:r>
        <w:rPr>
          <w:spacing w:val="-3"/>
        </w:rPr>
        <w:t>业</w:t>
      </w:r>
      <w:r>
        <w:t>部</w:t>
      </w:r>
    </w:p>
    <w:p>
      <w:pPr>
        <w:pStyle w:val="3"/>
        <w:tabs>
          <w:tab w:val="left" w:pos="5890"/>
        </w:tabs>
        <w:spacing w:before="91"/>
        <w:ind w:right="0" w:firstLine="0"/>
      </w:pPr>
      <w:r>
        <w:t>法定</w:t>
      </w:r>
      <w:r>
        <w:rPr>
          <w:spacing w:val="-3"/>
        </w:rPr>
        <w:t>代</w:t>
      </w:r>
      <w:r>
        <w:t>表</w:t>
      </w:r>
      <w:r>
        <w:rPr>
          <w:spacing w:val="-3"/>
        </w:rPr>
        <w:t>人</w:t>
      </w:r>
      <w:r>
        <w:t>（</w:t>
      </w:r>
      <w:r>
        <w:rPr>
          <w:spacing w:val="-3"/>
        </w:rPr>
        <w:t>或</w:t>
      </w:r>
      <w:r>
        <w:t>授</w:t>
      </w:r>
      <w:r>
        <w:rPr>
          <w:spacing w:val="-3"/>
        </w:rPr>
        <w:t>权</w:t>
      </w:r>
      <w:r>
        <w:t>代</w:t>
      </w:r>
      <w:r>
        <w:rPr>
          <w:spacing w:val="-3"/>
        </w:rPr>
        <w:t>表</w:t>
      </w:r>
      <w:r>
        <w:t>人）</w:t>
      </w:r>
      <w:r>
        <w:rPr>
          <w:spacing w:val="-3"/>
        </w:rPr>
        <w:t>签</w:t>
      </w:r>
      <w:r>
        <w:t>字：</w:t>
      </w:r>
      <w:r>
        <w:tab/>
      </w:r>
      <w:r>
        <w:t>营业</w:t>
      </w:r>
      <w:r>
        <w:rPr>
          <w:spacing w:val="-3"/>
        </w:rPr>
        <w:t>部</w:t>
      </w:r>
      <w:r>
        <w:t>业</w:t>
      </w:r>
      <w:r>
        <w:rPr>
          <w:spacing w:val="-3"/>
        </w:rPr>
        <w:t>务</w:t>
      </w:r>
      <w:r>
        <w:t>受</w:t>
      </w:r>
      <w:r>
        <w:rPr>
          <w:spacing w:val="-3"/>
        </w:rPr>
        <w:t>理</w:t>
      </w:r>
      <w:r>
        <w:t>人:</w:t>
      </w:r>
    </w:p>
    <w:p>
      <w:pPr>
        <w:pStyle w:val="3"/>
        <w:tabs>
          <w:tab w:val="left" w:pos="5890"/>
        </w:tabs>
        <w:spacing w:before="89"/>
        <w:ind w:right="0" w:firstLine="0"/>
      </w:pPr>
      <w:r>
        <w:t>签署</w:t>
      </w:r>
      <w:r>
        <w:rPr>
          <w:spacing w:val="-3"/>
        </w:rPr>
        <w:t>日</w:t>
      </w:r>
      <w:r>
        <w:t>期：</w:t>
      </w:r>
      <w:r>
        <w:tab/>
      </w:r>
      <w:r>
        <w:t>签署</w:t>
      </w:r>
      <w:r>
        <w:rPr>
          <w:spacing w:val="-3"/>
        </w:rPr>
        <w:t>日</w:t>
      </w:r>
      <w:r>
        <w:t>期：</w:t>
      </w:r>
    </w:p>
    <w:sectPr>
      <w:headerReference r:id="rId5" w:type="default"/>
      <w:footerReference r:id="rId6" w:type="default"/>
      <w:pgSz w:w="11900" w:h="16850"/>
      <w:pgMar w:top="1080" w:right="800" w:bottom="1040" w:left="1020" w:header="567" w:footer="844"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ight="0" w:firstLine="0"/>
      <w:rPr>
        <w:sz w:val="20"/>
      </w:rPr>
    </w:pPr>
    <w:r>
      <w:pict>
        <v:shape id="_x0000_s2055" o:spid="_x0000_s2055" o:spt="202" type="#_x0000_t202" style="position:absolute;left:0pt;margin-left:421.6pt;margin-top:801pt;height:11.4pt;width:134.75pt;mso-position-horizontal-relative:page;mso-position-vertical-relative:page;z-index:-251650048;mso-width-relative:page;mso-height-relative:page;" filled="f" stroked="f" coordsize="21600,21600">
          <v:path/>
          <v:fill on="f" focussize="0,0"/>
          <v:stroke on="f"/>
          <v:imagedata o:title=""/>
          <o:lock v:ext="edit" aspectratio="f"/>
          <v:textbox inset="0mm,0mm,0mm,0mm">
            <w:txbxContent>
              <w:p>
                <w:pPr>
                  <w:spacing w:before="0" w:line="228" w:lineRule="exact"/>
                  <w:ind w:left="40" w:right="0" w:firstLine="0"/>
                  <w:jc w:val="right"/>
                  <w:rPr>
                    <w:rFonts w:hint="default" w:ascii="等线" w:eastAsia="仿宋"/>
                    <w:sz w:val="18"/>
                    <w:lang w:val="en-US" w:eastAsia="zh-CN"/>
                  </w:rPr>
                </w:pPr>
                <w:r>
                  <w:rPr>
                    <w:rFonts w:hint="eastAsia"/>
                    <w:lang w:val="en-US" w:eastAsia="zh-CN"/>
                  </w:rPr>
                  <w:t>2022年6月版</w:t>
                </w:r>
              </w:p>
            </w:txbxContent>
          </v:textbox>
        </v:shape>
      </w:pict>
    </w:r>
    <w:r>
      <w:pict>
        <v:group id="_x0000_s2050" o:spid="_x0000_s2050" o:spt="203" style="position:absolute;left:0pt;margin-left:56.75pt;margin-top:801.5pt;height:5pt;width:52.8pt;mso-position-horizontal-relative:page;mso-position-vertical-relative:page;z-index:-251655168;mso-width-relative:page;mso-height-relative:page;" coordorigin="1136,16031" coordsize="1056,100">
          <o:lock v:ext="edit"/>
          <v:shape id="_x0000_s2051" o:spid="_x0000_s2051" o:spt="75" type="#_x0000_t75" style="position:absolute;left:1135;top:16030;height:88;width:993;" filled="f" stroked="f" coordsize="21600,21600">
            <v:path/>
            <v:fill on="f" focussize="0,0"/>
            <v:stroke on="f"/>
            <v:imagedata r:id="rId1" o:title=""/>
            <o:lock v:ext="edit" aspectratio="t"/>
          </v:shape>
          <v:shape id="_x0000_s2052" o:spid="_x0000_s2052" style="position:absolute;left:2141;top:16103;height:28;width:50;" fillcolor="#585656" filled="t" stroked="f" coordorigin="2142,16103" coordsize="50,28" path="m2154,16103l2142,16103,2142,16117,2154,16117,2154,16103m2192,16103l2180,16103,2172,16130,2182,16130,2192,16103e">
            <v:path arrowok="t"/>
            <v:fill on="t" focussize="0,0"/>
            <v:stroke on="f"/>
            <v:imagedata o:title=""/>
            <o:lock v:ext="edit"/>
          </v:shape>
        </v:group>
      </w:pict>
    </w:r>
    <w:r>
      <w:pict>
        <v:shape id="_x0000_s2053" o:spid="_x0000_s2053" style="position:absolute;left:0pt;margin-left:112.35pt;margin-top:801.6pt;height:4.2pt;width:10.35pt;mso-position-horizontal-relative:page;mso-position-vertical-relative:page;z-index:-251654144;mso-width-relative:page;mso-height-relative:page;" fillcolor="#585656" filled="t" stroked="f" coordorigin="2247,16033" coordsize="207,84" path="m2293,16107l2259,16107,2259,16033,2247,16033,2247,16117,2293,16117,2293,16107m2345,16033l2285,16033,2285,16043,2309,16043,2309,16117,2321,16117,2321,16043,2345,16043,2345,16033m2424,16060l2420,16050,2412,16043,2412,16064,2412,16084,2410,16091,2398,16103,2388,16107,2369,16107,2369,16041,2390,16041,2398,16045,2404,16050,2410,16054,2412,16064,2412,16043,2410,16041,2404,16035,2392,16033,2357,16033,2357,16117,2392,16117,2404,16113,2410,16107,2420,16097,2424,16087,2424,16060m2454,16103l2442,16103,2442,16117,2454,16117,2454,16103e">
          <v:path arrowok="t"/>
          <v:fill on="t" focussize="0,0"/>
          <v:stroke on="f"/>
          <v:imagedata o:title=""/>
          <o:lock v:ext="edit"/>
        </v:shape>
      </w:pict>
    </w:r>
    <w:r>
      <w:drawing>
        <wp:anchor distT="0" distB="0" distL="0" distR="0" simplePos="0" relativeHeight="251663360" behindDoc="1" locked="0" layoutInCell="1" allowOverlap="1">
          <wp:simplePos x="0" y="0"/>
          <wp:positionH relativeFrom="page">
            <wp:posOffset>719455</wp:posOffset>
          </wp:positionH>
          <wp:positionV relativeFrom="page">
            <wp:posOffset>10030460</wp:posOffset>
          </wp:positionV>
          <wp:extent cx="946785" cy="84455"/>
          <wp:effectExtent l="0" t="0" r="0" b="0"/>
          <wp:wrapNone/>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png"/>
                  <pic:cNvPicPr>
                    <a:picLocks noChangeAspect="1"/>
                  </pic:cNvPicPr>
                </pic:nvPicPr>
                <pic:blipFill>
                  <a:blip r:embed="rId2" cstate="print"/>
                  <a:stretch>
                    <a:fillRect/>
                  </a:stretch>
                </pic:blipFill>
                <pic:spPr>
                  <a:xfrm>
                    <a:off x="0" y="0"/>
                    <a:ext cx="946816" cy="84344"/>
                  </a:xfrm>
                  <a:prstGeom prst="rect">
                    <a:avLst/>
                  </a:prstGeom>
                </pic:spPr>
              </pic:pic>
            </a:graphicData>
          </a:graphic>
        </wp:anchor>
      </w:drawing>
    </w:r>
    <w:r>
      <w:pict>
        <v:shape id="_x0000_s2054" o:spid="_x0000_s2054" o:spt="202" type="#_x0000_t202" style="position:absolute;left:0pt;margin-left:293.1pt;margin-top:802pt;height:11.4pt;width:9.25pt;mso-position-horizontal-relative:page;mso-position-vertical-relative:page;z-index:-251652096;mso-width-relative:page;mso-height-relative:page;" filled="f" stroked="f" coordsize="21600,21600">
          <v:path/>
          <v:fill on="f" focussize="0,0"/>
          <v:stroke on="f"/>
          <v:imagedata o:title=""/>
          <o:lock v:ext="edit" aspectratio="f"/>
          <v:textbox inset="0mm,0mm,0mm,0mm">
            <w:txbxContent>
              <w:p>
                <w:pPr>
                  <w:spacing w:before="0" w:line="228" w:lineRule="exact"/>
                  <w:ind w:left="40" w:right="0" w:firstLine="0"/>
                  <w:jc w:val="left"/>
                  <w:rPr>
                    <w:rFonts w:ascii="等线"/>
                    <w:sz w:val="18"/>
                  </w:rPr>
                </w:pPr>
                <w:r>
                  <w:fldChar w:fldCharType="begin"/>
                </w:r>
                <w:r>
                  <w:rPr>
                    <w:rFonts w:ascii="等线"/>
                    <w:sz w:val="18"/>
                  </w:rPr>
                  <w:instrText xml:space="preserve"> PAGE </w:instrText>
                </w:r>
                <w:r>
                  <w:fldChar w:fldCharType="separate"/>
                </w:r>
                <w:r>
                  <w:t>1</w:t>
                </w:r>
                <w: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ind w:left="0" w:right="0" w:firstLine="0"/>
      <w:rPr>
        <w:sz w:val="20"/>
      </w:rPr>
    </w:pPr>
    <w:r>
      <w:drawing>
        <wp:anchor distT="0" distB="0" distL="0" distR="0" simplePos="0" relativeHeight="251659264" behindDoc="1" locked="0" layoutInCell="1" allowOverlap="1">
          <wp:simplePos x="0" y="0"/>
          <wp:positionH relativeFrom="page">
            <wp:posOffset>720090</wp:posOffset>
          </wp:positionH>
          <wp:positionV relativeFrom="page">
            <wp:posOffset>359410</wp:posOffset>
          </wp:positionV>
          <wp:extent cx="2127250" cy="311150"/>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jpeg"/>
                  <pic:cNvPicPr>
                    <a:picLocks noChangeAspect="1"/>
                  </pic:cNvPicPr>
                </pic:nvPicPr>
                <pic:blipFill>
                  <a:blip r:embed="rId1" cstate="print"/>
                  <a:stretch>
                    <a:fillRect/>
                  </a:stretch>
                </pic:blipFill>
                <pic:spPr>
                  <a:xfrm>
                    <a:off x="0" y="0"/>
                    <a:ext cx="2127250" cy="311150"/>
                  </a:xfrm>
                  <a:prstGeom prst="rect">
                    <a:avLst/>
                  </a:prstGeom>
                </pic:spPr>
              </pic:pic>
            </a:graphicData>
          </a:graphic>
        </wp:anchor>
      </w:drawing>
    </w:r>
    <w:r>
      <w:pict>
        <v:line id="_x0000_s2049" o:spid="_x0000_s2049" o:spt="20" style="position:absolute;left:0pt;margin-left:55.2pt;margin-top:54.1pt;height:0pt;width:484.5pt;mso-position-horizontal-relative:page;mso-position-vertical-relative:page;z-index:-251656192;mso-width-relative:page;mso-height-relative:page;" stroked="t" coordsize="21600,21600">
          <v:path arrowok="t"/>
          <v:fill focussize="0,0"/>
          <v:stroke weight="0.72pt" color="#000000"/>
          <v:imagedata o:title=""/>
          <o:lock v:ext="edit"/>
        </v:lin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F092B84"/>
    <w:multiLevelType w:val="multilevel"/>
    <w:tmpl w:val="CF092B84"/>
    <w:lvl w:ilvl="0" w:tentative="0">
      <w:start w:val="1"/>
      <w:numFmt w:val="decimal"/>
      <w:lvlText w:val="%1."/>
      <w:lvlJc w:val="left"/>
      <w:pPr>
        <w:ind w:left="851" w:hanging="318"/>
        <w:jc w:val="left"/>
      </w:pPr>
      <w:rPr>
        <w:rFonts w:hint="default"/>
        <w:w w:val="100"/>
        <w:sz w:val="19"/>
        <w:szCs w:val="19"/>
        <w:u w:val="single" w:color="000000"/>
        <w:lang w:val="zh-CN" w:eastAsia="zh-CN" w:bidi="zh-CN"/>
      </w:rPr>
    </w:lvl>
    <w:lvl w:ilvl="1" w:tentative="0">
      <w:start w:val="0"/>
      <w:numFmt w:val="bullet"/>
      <w:lvlText w:val="•"/>
      <w:lvlJc w:val="left"/>
      <w:pPr>
        <w:ind w:left="1781" w:hanging="318"/>
      </w:pPr>
      <w:rPr>
        <w:rFonts w:hint="default"/>
        <w:lang w:val="zh-CN" w:eastAsia="zh-CN" w:bidi="zh-CN"/>
      </w:rPr>
    </w:lvl>
    <w:lvl w:ilvl="2" w:tentative="0">
      <w:start w:val="0"/>
      <w:numFmt w:val="bullet"/>
      <w:lvlText w:val="•"/>
      <w:lvlJc w:val="left"/>
      <w:pPr>
        <w:ind w:left="2703" w:hanging="318"/>
      </w:pPr>
      <w:rPr>
        <w:rFonts w:hint="default"/>
        <w:lang w:val="zh-CN" w:eastAsia="zh-CN" w:bidi="zh-CN"/>
      </w:rPr>
    </w:lvl>
    <w:lvl w:ilvl="3" w:tentative="0">
      <w:start w:val="0"/>
      <w:numFmt w:val="bullet"/>
      <w:lvlText w:val="•"/>
      <w:lvlJc w:val="left"/>
      <w:pPr>
        <w:ind w:left="3625" w:hanging="318"/>
      </w:pPr>
      <w:rPr>
        <w:rFonts w:hint="default"/>
        <w:lang w:val="zh-CN" w:eastAsia="zh-CN" w:bidi="zh-CN"/>
      </w:rPr>
    </w:lvl>
    <w:lvl w:ilvl="4" w:tentative="0">
      <w:start w:val="0"/>
      <w:numFmt w:val="bullet"/>
      <w:lvlText w:val="•"/>
      <w:lvlJc w:val="left"/>
      <w:pPr>
        <w:ind w:left="4547" w:hanging="318"/>
      </w:pPr>
      <w:rPr>
        <w:rFonts w:hint="default"/>
        <w:lang w:val="zh-CN" w:eastAsia="zh-CN" w:bidi="zh-CN"/>
      </w:rPr>
    </w:lvl>
    <w:lvl w:ilvl="5" w:tentative="0">
      <w:start w:val="0"/>
      <w:numFmt w:val="bullet"/>
      <w:lvlText w:val="•"/>
      <w:lvlJc w:val="left"/>
      <w:pPr>
        <w:ind w:left="5469" w:hanging="318"/>
      </w:pPr>
      <w:rPr>
        <w:rFonts w:hint="default"/>
        <w:lang w:val="zh-CN" w:eastAsia="zh-CN" w:bidi="zh-CN"/>
      </w:rPr>
    </w:lvl>
    <w:lvl w:ilvl="6" w:tentative="0">
      <w:start w:val="0"/>
      <w:numFmt w:val="bullet"/>
      <w:lvlText w:val="•"/>
      <w:lvlJc w:val="left"/>
      <w:pPr>
        <w:ind w:left="6391" w:hanging="318"/>
      </w:pPr>
      <w:rPr>
        <w:rFonts w:hint="default"/>
        <w:lang w:val="zh-CN" w:eastAsia="zh-CN" w:bidi="zh-CN"/>
      </w:rPr>
    </w:lvl>
    <w:lvl w:ilvl="7" w:tentative="0">
      <w:start w:val="0"/>
      <w:numFmt w:val="bullet"/>
      <w:lvlText w:val="•"/>
      <w:lvlJc w:val="left"/>
      <w:pPr>
        <w:ind w:left="7313" w:hanging="318"/>
      </w:pPr>
      <w:rPr>
        <w:rFonts w:hint="default"/>
        <w:lang w:val="zh-CN" w:eastAsia="zh-CN" w:bidi="zh-CN"/>
      </w:rPr>
    </w:lvl>
    <w:lvl w:ilvl="8" w:tentative="0">
      <w:start w:val="0"/>
      <w:numFmt w:val="bullet"/>
      <w:lvlText w:val="•"/>
      <w:lvlJc w:val="left"/>
      <w:pPr>
        <w:ind w:left="8235" w:hanging="318"/>
      </w:pPr>
      <w:rPr>
        <w:rFonts w:hint="default"/>
        <w:lang w:val="zh-CN" w:eastAsia="zh-CN" w:bidi="zh-CN"/>
      </w:rPr>
    </w:lvl>
  </w:abstractNum>
  <w:abstractNum w:abstractNumId="1">
    <w:nsid w:val="59ADCABA"/>
    <w:multiLevelType w:val="multilevel"/>
    <w:tmpl w:val="59ADCABA"/>
    <w:lvl w:ilvl="0" w:tentative="0">
      <w:start w:val="1"/>
      <w:numFmt w:val="decimal"/>
      <w:lvlText w:val="%1."/>
      <w:lvlJc w:val="left"/>
      <w:pPr>
        <w:ind w:left="850" w:hanging="317"/>
        <w:jc w:val="left"/>
      </w:pPr>
      <w:rPr>
        <w:rFonts w:hint="default" w:ascii="仿宋" w:hAnsi="仿宋" w:eastAsia="仿宋" w:cs="仿宋"/>
        <w:color w:val="333333"/>
        <w:w w:val="100"/>
        <w:sz w:val="21"/>
        <w:szCs w:val="21"/>
        <w:lang w:val="zh-CN" w:eastAsia="zh-CN" w:bidi="zh-CN"/>
      </w:rPr>
    </w:lvl>
    <w:lvl w:ilvl="1" w:tentative="0">
      <w:start w:val="0"/>
      <w:numFmt w:val="bullet"/>
      <w:lvlText w:val="•"/>
      <w:lvlJc w:val="left"/>
      <w:pPr>
        <w:ind w:left="1781" w:hanging="317"/>
      </w:pPr>
      <w:rPr>
        <w:rFonts w:hint="default"/>
        <w:lang w:val="zh-CN" w:eastAsia="zh-CN" w:bidi="zh-CN"/>
      </w:rPr>
    </w:lvl>
    <w:lvl w:ilvl="2" w:tentative="0">
      <w:start w:val="0"/>
      <w:numFmt w:val="bullet"/>
      <w:lvlText w:val="•"/>
      <w:lvlJc w:val="left"/>
      <w:pPr>
        <w:ind w:left="2703" w:hanging="317"/>
      </w:pPr>
      <w:rPr>
        <w:rFonts w:hint="default"/>
        <w:lang w:val="zh-CN" w:eastAsia="zh-CN" w:bidi="zh-CN"/>
      </w:rPr>
    </w:lvl>
    <w:lvl w:ilvl="3" w:tentative="0">
      <w:start w:val="0"/>
      <w:numFmt w:val="bullet"/>
      <w:lvlText w:val="•"/>
      <w:lvlJc w:val="left"/>
      <w:pPr>
        <w:ind w:left="3625" w:hanging="317"/>
      </w:pPr>
      <w:rPr>
        <w:rFonts w:hint="default"/>
        <w:lang w:val="zh-CN" w:eastAsia="zh-CN" w:bidi="zh-CN"/>
      </w:rPr>
    </w:lvl>
    <w:lvl w:ilvl="4" w:tentative="0">
      <w:start w:val="0"/>
      <w:numFmt w:val="bullet"/>
      <w:lvlText w:val="•"/>
      <w:lvlJc w:val="left"/>
      <w:pPr>
        <w:ind w:left="4547" w:hanging="317"/>
      </w:pPr>
      <w:rPr>
        <w:rFonts w:hint="default"/>
        <w:lang w:val="zh-CN" w:eastAsia="zh-CN" w:bidi="zh-CN"/>
      </w:rPr>
    </w:lvl>
    <w:lvl w:ilvl="5" w:tentative="0">
      <w:start w:val="0"/>
      <w:numFmt w:val="bullet"/>
      <w:lvlText w:val="•"/>
      <w:lvlJc w:val="left"/>
      <w:pPr>
        <w:ind w:left="5469" w:hanging="317"/>
      </w:pPr>
      <w:rPr>
        <w:rFonts w:hint="default"/>
        <w:lang w:val="zh-CN" w:eastAsia="zh-CN" w:bidi="zh-CN"/>
      </w:rPr>
    </w:lvl>
    <w:lvl w:ilvl="6" w:tentative="0">
      <w:start w:val="0"/>
      <w:numFmt w:val="bullet"/>
      <w:lvlText w:val="•"/>
      <w:lvlJc w:val="left"/>
      <w:pPr>
        <w:ind w:left="6391" w:hanging="317"/>
      </w:pPr>
      <w:rPr>
        <w:rFonts w:hint="default"/>
        <w:lang w:val="zh-CN" w:eastAsia="zh-CN" w:bidi="zh-CN"/>
      </w:rPr>
    </w:lvl>
    <w:lvl w:ilvl="7" w:tentative="0">
      <w:start w:val="0"/>
      <w:numFmt w:val="bullet"/>
      <w:lvlText w:val="•"/>
      <w:lvlJc w:val="left"/>
      <w:pPr>
        <w:ind w:left="7313" w:hanging="317"/>
      </w:pPr>
      <w:rPr>
        <w:rFonts w:hint="default"/>
        <w:lang w:val="zh-CN" w:eastAsia="zh-CN" w:bidi="zh-CN"/>
      </w:rPr>
    </w:lvl>
    <w:lvl w:ilvl="8" w:tentative="0">
      <w:start w:val="0"/>
      <w:numFmt w:val="bullet"/>
      <w:lvlText w:val="•"/>
      <w:lvlJc w:val="left"/>
      <w:pPr>
        <w:ind w:left="8235" w:hanging="317"/>
      </w:pPr>
      <w:rPr>
        <w:rFonts w:hint="default"/>
        <w:lang w:val="zh-CN" w:eastAsia="zh-CN" w:bidi="zh-C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trackRevisions w:val="1"/>
  <w:documentProtection w:enforcement="0"/>
  <w:defaultTabStop w:val="720"/>
  <w:drawingGridHorizontalSpacing w:val="110"/>
  <w:displayHorizontalDrawingGridEvery w:val="2"/>
  <w:characterSpacingControl w:val="doNotCompress"/>
  <w:hdrShapeDefaults>
    <o:shapelayout v:ext="edit">
      <o:idmap v:ext="edit" data="2"/>
    </o:shapelayout>
  </w:hdrShapeDefaults>
  <w:footnotePr>
    <w:footnote w:id="0"/>
    <w:footnote w:id="1"/>
  </w:footnotePr>
  <w:endnotePr>
    <w:endnote w:id="0"/>
    <w:endnote w:id="1"/>
  </w:endnotePr>
  <w:compat>
    <w:ulTrailSpace/>
    <w:shapeLayoutLikeWW8/>
    <w:useFELayout/>
    <w:compatSetting w:name="compatibilityMode" w:uri="http://schemas.microsoft.com/office/word" w:val="12"/>
  </w:compat>
  <w:docVars>
    <w:docVar w:name="commondata" w:val="eyJoZGlkIjoiZGI0OGYxZTk3MzI1NGQ2ZDdkMTZjYWRmYTljN2U5NDIifQ=="/>
  </w:docVars>
  <w:rsids>
    <w:rsidRoot w:val="00000000"/>
    <w:rsid w:val="005C088A"/>
    <w:rsid w:val="02241E42"/>
    <w:rsid w:val="0254362A"/>
    <w:rsid w:val="02881E0B"/>
    <w:rsid w:val="03443858"/>
    <w:rsid w:val="042711AF"/>
    <w:rsid w:val="05605EA0"/>
    <w:rsid w:val="07E636FB"/>
    <w:rsid w:val="08986B20"/>
    <w:rsid w:val="08AB6853"/>
    <w:rsid w:val="08B64B98"/>
    <w:rsid w:val="09273A00"/>
    <w:rsid w:val="0A091F1D"/>
    <w:rsid w:val="0B1E0590"/>
    <w:rsid w:val="0BDE2EEB"/>
    <w:rsid w:val="0C364685"/>
    <w:rsid w:val="0DED6FC6"/>
    <w:rsid w:val="0E363A9E"/>
    <w:rsid w:val="0E6059EA"/>
    <w:rsid w:val="10B233D8"/>
    <w:rsid w:val="112453F4"/>
    <w:rsid w:val="120C43E7"/>
    <w:rsid w:val="131A49F5"/>
    <w:rsid w:val="1373355A"/>
    <w:rsid w:val="171A291F"/>
    <w:rsid w:val="1A6E0B3E"/>
    <w:rsid w:val="1B5E7755"/>
    <w:rsid w:val="1DBF406E"/>
    <w:rsid w:val="1DD633A2"/>
    <w:rsid w:val="1E1D56A5"/>
    <w:rsid w:val="1E645D20"/>
    <w:rsid w:val="202A22FB"/>
    <w:rsid w:val="20E32385"/>
    <w:rsid w:val="210A6882"/>
    <w:rsid w:val="2181419D"/>
    <w:rsid w:val="22511DC1"/>
    <w:rsid w:val="232402E6"/>
    <w:rsid w:val="23FA0237"/>
    <w:rsid w:val="249930A4"/>
    <w:rsid w:val="259F4BF2"/>
    <w:rsid w:val="25AC5561"/>
    <w:rsid w:val="25B77BA8"/>
    <w:rsid w:val="26527C90"/>
    <w:rsid w:val="291458F7"/>
    <w:rsid w:val="2A726D79"/>
    <w:rsid w:val="2A9B4B39"/>
    <w:rsid w:val="2AB253C7"/>
    <w:rsid w:val="2AF7727E"/>
    <w:rsid w:val="2B45448D"/>
    <w:rsid w:val="2E271C28"/>
    <w:rsid w:val="2E584D10"/>
    <w:rsid w:val="2E894691"/>
    <w:rsid w:val="2ED62E45"/>
    <w:rsid w:val="2F345FD8"/>
    <w:rsid w:val="2F3E191F"/>
    <w:rsid w:val="30D84E82"/>
    <w:rsid w:val="32C65006"/>
    <w:rsid w:val="32D3412D"/>
    <w:rsid w:val="33A8077F"/>
    <w:rsid w:val="348E5159"/>
    <w:rsid w:val="34993154"/>
    <w:rsid w:val="35A41DB0"/>
    <w:rsid w:val="36054F45"/>
    <w:rsid w:val="36FD79CA"/>
    <w:rsid w:val="37C52BDE"/>
    <w:rsid w:val="38592082"/>
    <w:rsid w:val="39F23A32"/>
    <w:rsid w:val="3A8F302F"/>
    <w:rsid w:val="3B473C99"/>
    <w:rsid w:val="3BF55114"/>
    <w:rsid w:val="3C18070E"/>
    <w:rsid w:val="3C9B252E"/>
    <w:rsid w:val="3C9B399B"/>
    <w:rsid w:val="3CAB6FEE"/>
    <w:rsid w:val="3CFE5878"/>
    <w:rsid w:val="3D687B67"/>
    <w:rsid w:val="3E1675C3"/>
    <w:rsid w:val="3EAD43CC"/>
    <w:rsid w:val="3F577E93"/>
    <w:rsid w:val="3FB904EB"/>
    <w:rsid w:val="40436D96"/>
    <w:rsid w:val="417A1B09"/>
    <w:rsid w:val="41B82E6B"/>
    <w:rsid w:val="42507548"/>
    <w:rsid w:val="429A07C3"/>
    <w:rsid w:val="44A21BB1"/>
    <w:rsid w:val="44AD0C81"/>
    <w:rsid w:val="45C51E46"/>
    <w:rsid w:val="4653292B"/>
    <w:rsid w:val="46AA3A8B"/>
    <w:rsid w:val="47F76567"/>
    <w:rsid w:val="49DB003F"/>
    <w:rsid w:val="4A6873F9"/>
    <w:rsid w:val="4AAD7EA8"/>
    <w:rsid w:val="4D103023"/>
    <w:rsid w:val="4D5F5CED"/>
    <w:rsid w:val="4DB20893"/>
    <w:rsid w:val="4DD703C8"/>
    <w:rsid w:val="4E4D20AD"/>
    <w:rsid w:val="4F195165"/>
    <w:rsid w:val="4F2F4BC2"/>
    <w:rsid w:val="4F642884"/>
    <w:rsid w:val="4F9562D1"/>
    <w:rsid w:val="5003644E"/>
    <w:rsid w:val="50A218B6"/>
    <w:rsid w:val="50D561A7"/>
    <w:rsid w:val="50F80F38"/>
    <w:rsid w:val="52F65EE9"/>
    <w:rsid w:val="544B5DC1"/>
    <w:rsid w:val="5475161F"/>
    <w:rsid w:val="548B1262"/>
    <w:rsid w:val="548F2152"/>
    <w:rsid w:val="54AB1FFD"/>
    <w:rsid w:val="55191A1B"/>
    <w:rsid w:val="5602755D"/>
    <w:rsid w:val="569825F8"/>
    <w:rsid w:val="56C13F2D"/>
    <w:rsid w:val="56D90918"/>
    <w:rsid w:val="5806097D"/>
    <w:rsid w:val="586D09FC"/>
    <w:rsid w:val="58CE7870"/>
    <w:rsid w:val="59C83A10"/>
    <w:rsid w:val="5C5A55C9"/>
    <w:rsid w:val="5C8460DD"/>
    <w:rsid w:val="5CCA369D"/>
    <w:rsid w:val="5EB32EE1"/>
    <w:rsid w:val="5F414A9E"/>
    <w:rsid w:val="5F8B3FC5"/>
    <w:rsid w:val="60631915"/>
    <w:rsid w:val="618948E5"/>
    <w:rsid w:val="61EA6C19"/>
    <w:rsid w:val="62216F68"/>
    <w:rsid w:val="624D0F56"/>
    <w:rsid w:val="62A52B40"/>
    <w:rsid w:val="63462575"/>
    <w:rsid w:val="636F75B8"/>
    <w:rsid w:val="6391074D"/>
    <w:rsid w:val="63C90AB0"/>
    <w:rsid w:val="64FA3235"/>
    <w:rsid w:val="65FD6B2A"/>
    <w:rsid w:val="67852F40"/>
    <w:rsid w:val="68EA5751"/>
    <w:rsid w:val="69F525FF"/>
    <w:rsid w:val="6A1D67BE"/>
    <w:rsid w:val="6B6A7665"/>
    <w:rsid w:val="6BB6529F"/>
    <w:rsid w:val="6BD83F86"/>
    <w:rsid w:val="6C922387"/>
    <w:rsid w:val="6D200D1F"/>
    <w:rsid w:val="6D9F09C3"/>
    <w:rsid w:val="6E1B45FE"/>
    <w:rsid w:val="6E41147A"/>
    <w:rsid w:val="6F121540"/>
    <w:rsid w:val="6F740912"/>
    <w:rsid w:val="6F975F07"/>
    <w:rsid w:val="70064762"/>
    <w:rsid w:val="70DF5D91"/>
    <w:rsid w:val="71213CDA"/>
    <w:rsid w:val="7137174F"/>
    <w:rsid w:val="71AE6862"/>
    <w:rsid w:val="71D861F7"/>
    <w:rsid w:val="72253C9E"/>
    <w:rsid w:val="72275320"/>
    <w:rsid w:val="73F771D5"/>
    <w:rsid w:val="74AE20D4"/>
    <w:rsid w:val="75750B11"/>
    <w:rsid w:val="75D532E5"/>
    <w:rsid w:val="76D60049"/>
    <w:rsid w:val="77411B8B"/>
    <w:rsid w:val="79B06543"/>
    <w:rsid w:val="7B237E27"/>
    <w:rsid w:val="7C1D1542"/>
    <w:rsid w:val="7CD84C3F"/>
    <w:rsid w:val="7D774D23"/>
    <w:rsid w:val="7F2F3A66"/>
    <w:rsid w:val="7FD7053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1"/>
    <w:pPr>
      <w:widowControl w:val="0"/>
      <w:autoSpaceDE w:val="0"/>
      <w:autoSpaceDN w:val="0"/>
      <w:spacing w:before="0" w:after="0" w:line="240" w:lineRule="auto"/>
      <w:ind w:left="0" w:right="0"/>
      <w:jc w:val="left"/>
    </w:pPr>
    <w:rPr>
      <w:rFonts w:ascii="仿宋" w:hAnsi="仿宋" w:eastAsia="仿宋" w:cs="仿宋"/>
      <w:sz w:val="22"/>
      <w:szCs w:val="22"/>
      <w:lang w:val="zh-CN" w:eastAsia="zh-CN" w:bidi="zh-CN"/>
    </w:rPr>
  </w:style>
  <w:style w:type="paragraph" w:styleId="2">
    <w:name w:val="heading 1"/>
    <w:basedOn w:val="1"/>
    <w:next w:val="1"/>
    <w:qFormat/>
    <w:uiPriority w:val="1"/>
    <w:pPr>
      <w:ind w:left="113"/>
      <w:outlineLvl w:val="1"/>
    </w:pPr>
    <w:rPr>
      <w:rFonts w:ascii="仿宋" w:hAnsi="仿宋" w:eastAsia="仿宋" w:cs="仿宋"/>
      <w:b/>
      <w:bCs/>
      <w:sz w:val="21"/>
      <w:szCs w:val="21"/>
      <w:lang w:val="zh-CN" w:eastAsia="zh-CN" w:bidi="zh-CN"/>
    </w:rPr>
  </w:style>
  <w:style w:type="character" w:default="1" w:styleId="6">
    <w:name w:val="Default Paragraph Font"/>
    <w:semiHidden/>
    <w:unhideWhenUsed/>
    <w:qFormat/>
    <w:uiPriority w:val="1"/>
  </w:style>
  <w:style w:type="table" w:default="1" w:styleId="5">
    <w:name w:val="Normal Table"/>
    <w:semiHidden/>
    <w:qFormat/>
    <w:uiPriority w:val="0"/>
    <w:tblPr>
      <w:tblCellMar>
        <w:top w:w="0" w:type="dxa"/>
        <w:left w:w="108" w:type="dxa"/>
        <w:bottom w:w="0" w:type="dxa"/>
        <w:right w:w="108" w:type="dxa"/>
      </w:tblCellMar>
    </w:tblPr>
  </w:style>
  <w:style w:type="paragraph" w:styleId="3">
    <w:name w:val="Body Text"/>
    <w:basedOn w:val="1"/>
    <w:qFormat/>
    <w:uiPriority w:val="1"/>
    <w:pPr>
      <w:ind w:left="113" w:right="326" w:firstLine="422"/>
    </w:pPr>
    <w:rPr>
      <w:rFonts w:ascii="仿宋" w:hAnsi="仿宋" w:eastAsia="仿宋" w:cs="仿宋"/>
      <w:sz w:val="21"/>
      <w:szCs w:val="21"/>
      <w:lang w:val="zh-CN" w:eastAsia="zh-CN" w:bidi="zh-CN"/>
    </w:rPr>
  </w:style>
  <w:style w:type="paragraph" w:styleId="4">
    <w:name w:val="Normal (Web)"/>
    <w:basedOn w:val="1"/>
    <w:qFormat/>
    <w:uiPriority w:val="0"/>
    <w:pPr>
      <w:spacing w:before="0" w:beforeAutospacing="1" w:after="0" w:afterAutospacing="1"/>
      <w:ind w:left="0" w:right="0"/>
      <w:jc w:val="left"/>
    </w:pPr>
    <w:rPr>
      <w:kern w:val="0"/>
      <w:sz w:val="24"/>
      <w:lang w:val="en-US" w:eastAsia="zh-CN" w:bidi="ar"/>
    </w:rPr>
  </w:style>
  <w:style w:type="table" w:customStyle="1" w:styleId="7">
    <w:name w:val="Table Normal"/>
    <w:semiHidden/>
    <w:unhideWhenUsed/>
    <w:qFormat/>
    <w:uiPriority w:val="2"/>
    <w:tblPr>
      <w:tblCellMar>
        <w:top w:w="0" w:type="dxa"/>
        <w:left w:w="0" w:type="dxa"/>
        <w:bottom w:w="0" w:type="dxa"/>
        <w:right w:w="0" w:type="dxa"/>
      </w:tblCellMar>
    </w:tblPr>
  </w:style>
  <w:style w:type="paragraph" w:styleId="8">
    <w:name w:val="List Paragraph"/>
    <w:basedOn w:val="1"/>
    <w:qFormat/>
    <w:uiPriority w:val="1"/>
    <w:pPr>
      <w:spacing w:before="43"/>
      <w:ind w:left="850" w:hanging="318"/>
    </w:pPr>
    <w:rPr>
      <w:rFonts w:ascii="仿宋" w:hAnsi="仿宋" w:eastAsia="仿宋" w:cs="仿宋"/>
      <w:u w:val="single" w:color="000000"/>
      <w:lang w:val="zh-CN" w:eastAsia="zh-CN" w:bidi="zh-CN"/>
    </w:rPr>
  </w:style>
  <w:style w:type="paragraph" w:customStyle="1" w:styleId="9">
    <w:name w:val="Table Paragraph"/>
    <w:basedOn w:val="1"/>
    <w:qFormat/>
    <w:uiPriority w:val="1"/>
    <w:rPr>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2055"/>
    <customShpInfo spid="_x0000_s2051"/>
    <customShpInfo spid="_x0000_s2052"/>
    <customShpInfo spid="_x0000_s2050"/>
    <customShpInfo spid="_x0000_s2053"/>
    <customShpInfo spid="_x0000_s2054"/>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10582</Words>
  <Characters>10781</Characters>
  <TotalTime>1</TotalTime>
  <ScaleCrop>false</ScaleCrop>
  <LinksUpToDate>false</LinksUpToDate>
  <CharactersWithSpaces>10963</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2021-10-28T01:57:00Z</dcterms:created>
  <dc:creator>Microsoft Office User</dc:creator>
  <cp:lastModifiedBy>szm</cp:lastModifiedBy>
  <dcterms:modified xsi:type="dcterms:W3CDTF">2023-11-15T12:49:41Z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2021-07-20T00:00:00Z</vt:filetime>
  </property>
  <property fmtid="{D5CDD505-2E9C-101B-9397-08002B2CF9AE}" pid="3" name="Creator">
    <vt:lpwstr>Microsoft® Word 2019</vt:lpwstr>
  </property>
  <property fmtid="{D5CDD505-2E9C-101B-9397-08002B2CF9AE}" pid="4" name="LastSaved">
    <vt:filetime>2021-10-28T00:00:00Z</vt:filetime>
  </property>
  <property fmtid="{D5CDD505-2E9C-101B-9397-08002B2CF9AE}" pid="5" name="KSOProductBuildVer">
    <vt:lpwstr>2052-12.1.0.15712</vt:lpwstr>
  </property>
  <property fmtid="{D5CDD505-2E9C-101B-9397-08002B2CF9AE}" pid="6" name="ICV">
    <vt:lpwstr>423BA9886316435AA6E9F6579559A1BE</vt:lpwstr>
  </property>
</Properties>
</file>